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_GBK" w:cs="Times New Roman"/>
          <w:sz w:val="44"/>
          <w:szCs w:val="44"/>
        </w:rPr>
      </w:pPr>
      <w:r>
        <w:rPr>
          <w:rFonts w:hint="eastAsia" w:ascii="Times New Roman" w:hAnsi="Times New Roman" w:eastAsia="方正小标宋_GBK" w:cs="Times New Roman"/>
          <w:sz w:val="44"/>
          <w:szCs w:val="44"/>
        </w:rPr>
        <w:t>承德市社会科学界联合会</w:t>
      </w:r>
      <w:r>
        <w:rPr>
          <w:rFonts w:ascii="Times New Roman" w:hAnsi="Times New Roman" w:eastAsia="方正小标宋_GBK" w:cs="Times New Roman"/>
          <w:sz w:val="44"/>
          <w:szCs w:val="44"/>
        </w:rPr>
        <w:t>201</w:t>
      </w:r>
      <w:r>
        <w:rPr>
          <w:rFonts w:hint="eastAsia" w:ascii="Times New Roman" w:hAnsi="Times New Roman" w:eastAsia="方正小标宋_GBK" w:cs="Times New Roman"/>
          <w:sz w:val="44"/>
          <w:szCs w:val="44"/>
          <w:lang w:val="en-US" w:eastAsia="zh-CN"/>
        </w:rPr>
        <w:t>9</w:t>
      </w:r>
      <w:r>
        <w:rPr>
          <w:rFonts w:ascii="Times New Roman" w:hAnsi="Times New Roman" w:eastAsia="方正小标宋_GBK" w:cs="Times New Roman"/>
          <w:sz w:val="44"/>
          <w:szCs w:val="44"/>
        </w:rPr>
        <w:t>年部门预算信息公开</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按照《预算法》、《地方预决算公开操作规程》和《河北省省级预算公开办法》规定，现将2018年部门预算公开如下：</w:t>
      </w:r>
    </w:p>
    <w:p>
      <w:pPr>
        <w:ind w:firstLine="640"/>
        <w:rPr>
          <w:rFonts w:ascii="黑体" w:hAnsi="黑体" w:eastAsia="黑体" w:cs="Times New Roman"/>
          <w:sz w:val="32"/>
          <w:szCs w:val="32"/>
        </w:rPr>
      </w:pPr>
      <w:r>
        <w:rPr>
          <w:rFonts w:hint="eastAsia" w:ascii="黑体" w:hAnsi="黑体" w:eastAsia="黑体" w:cs="Times New Roman"/>
          <w:sz w:val="32"/>
          <w:szCs w:val="32"/>
        </w:rPr>
        <w:t>一、部门职责及机构设置情况</w:t>
      </w:r>
    </w:p>
    <w:p>
      <w:pPr>
        <w:spacing w:line="520" w:lineRule="exact"/>
        <w:ind w:firstLine="640" w:firstLineChars="200"/>
        <w:rPr>
          <w:rFonts w:ascii="仿宋_GB2312" w:hAnsi="仿宋_GB2312" w:eastAsia="仿宋_GB2312" w:cs="仿宋_GB2312"/>
          <w:sz w:val="32"/>
          <w:szCs w:val="32"/>
        </w:rPr>
      </w:pPr>
      <w:r>
        <w:rPr>
          <w:rFonts w:hint="eastAsia" w:ascii="Times New Roman" w:hAnsi="Times New Roman" w:eastAsia="方正仿宋_GBK" w:cs="Times New Roman"/>
          <w:b/>
          <w:sz w:val="32"/>
          <w:szCs w:val="32"/>
        </w:rPr>
        <w:t xml:space="preserve">    部门</w:t>
      </w:r>
      <w:r>
        <w:rPr>
          <w:rFonts w:ascii="Times New Roman" w:hAnsi="Times New Roman" w:eastAsia="方正仿宋_GBK" w:cs="Times New Roman"/>
          <w:b/>
          <w:sz w:val="32"/>
          <w:szCs w:val="32"/>
        </w:rPr>
        <w:t>职责：</w:t>
      </w:r>
      <w:r>
        <w:rPr>
          <w:rFonts w:hint="eastAsia" w:ascii="仿宋_GB2312" w:hAnsi="仿宋_GB2312" w:eastAsia="仿宋_GB2312" w:cs="仿宋_GB2312"/>
          <w:sz w:val="32"/>
          <w:szCs w:val="32"/>
        </w:rPr>
        <w:t>承德市社会科学界联合会是全市社会科学工作者的群众组织，是中共承德市委领导下的人民团体，是党和政府联系社科工作的桥梁和纽带，是推动社会科学事业发展的重要力量。其主要职责为：（一）负责所属各社科团体的组织管理和工作指导。（二）围绕市委、市政府的重大工作部署，以邓小平理论和“三个代表”重要思想为指导，联系我市经济建设和社会发展实际，有计划地组织广大社会科学工作者开展学术研究和交流活动。（三）根据市政府[1996]42号令，定期组织开展全市性的社会科学优秀科研成果评奖工作。（四）编辑出版会刊和有关学术研究资料，为广大社科工作者提供发表作品的园地。（五）组织所属社团开展宣传、普及社会科学知识和科普咨询服务工作。（六）反映社科工作者的愿望和要求，维护其正当权益。（七）完成市委、市政府交办的其它有关工作任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2016年8月，承德市机构编制委员会《关于市社科联机构编制调整事宜的批复》（承市机编[2016]25号）同意增加两项主要职责：一是开展马克思主义基本理论，中国特色社会主义理论体系，党的路线、方针、政策，社会科学学科建设的宣传研究与咨政服务。二是负责全市社会科学研究规划的制订，发布承德市哲学社会科学研究项目，根据《承德市社会科学发展研究课题管理办法》，推动和组织各社会科学学术团体、高校及全市社科工作者有计划地开展学术研究和学术活动，推动全市社会科学各门学科的创新建设，为市委、市政府及有关部门提供决策依据和参考。</w:t>
      </w:r>
    </w:p>
    <w:p>
      <w:pPr>
        <w:ind w:firstLine="630"/>
        <w:rPr>
          <w:rFonts w:ascii="仿宋" w:hAnsi="仿宋" w:eastAsia="仿宋" w:cs="宋体"/>
          <w:kern w:val="0"/>
          <w:sz w:val="32"/>
          <w:szCs w:val="32"/>
        </w:rPr>
      </w:pPr>
      <w:r>
        <w:rPr>
          <w:rFonts w:hint="eastAsia" w:ascii="仿宋_GB2312" w:hAnsi="仿宋_GB2312" w:eastAsia="仿宋_GB2312" w:cs="仿宋_GB2312"/>
          <w:sz w:val="32"/>
          <w:szCs w:val="32"/>
        </w:rPr>
        <w:t>根据“三定规定”批复，我单位现有内设机构2个，分别是办公室和科普部</w:t>
      </w:r>
      <w:r>
        <w:rPr>
          <w:rFonts w:hint="eastAsia" w:ascii="仿宋" w:hAnsi="仿宋" w:eastAsia="仿宋" w:cs="宋体"/>
          <w:kern w:val="0"/>
          <w:sz w:val="32"/>
          <w:szCs w:val="32"/>
        </w:rPr>
        <w:t>。</w:t>
      </w:r>
    </w:p>
    <w:p>
      <w:pPr>
        <w:ind w:firstLine="643" w:firstLineChars="200"/>
        <w:rPr>
          <w:rFonts w:ascii="仿宋" w:hAnsi="仿宋" w:eastAsia="仿宋" w:cs="Times New Roman"/>
          <w:b/>
          <w:sz w:val="32"/>
          <w:szCs w:val="32"/>
        </w:rPr>
      </w:pPr>
      <w:r>
        <w:rPr>
          <w:rFonts w:hint="eastAsia" w:ascii="仿宋" w:hAnsi="仿宋" w:eastAsia="仿宋" w:cs="Times New Roman"/>
          <w:b/>
          <w:sz w:val="32"/>
          <w:szCs w:val="32"/>
        </w:rPr>
        <w:t>机构设置：</w:t>
      </w:r>
    </w:p>
    <w:p>
      <w:pPr>
        <w:jc w:val="center"/>
        <w:outlineLvl w:val="0"/>
        <w:rPr>
          <w:rFonts w:ascii="Times New Roman" w:hAnsi="Times New Roman" w:eastAsia="方正小标宋_GBK" w:cs="Times New Roman"/>
          <w:sz w:val="32"/>
          <w:szCs w:val="24"/>
        </w:rPr>
      </w:pPr>
      <w:r>
        <w:rPr>
          <w:rFonts w:ascii="Times New Roman" w:hAnsi="Times New Roman" w:eastAsia="方正小标宋_GBK" w:cs="Times New Roman"/>
          <w:sz w:val="32"/>
          <w:szCs w:val="24"/>
        </w:rPr>
        <w:t>部门</w:t>
      </w:r>
      <w:r>
        <w:rPr>
          <w:rFonts w:hint="eastAsia" w:ascii="Times New Roman" w:hAnsi="Times New Roman" w:eastAsia="方正小标宋_GBK" w:cs="Times New Roman"/>
          <w:sz w:val="32"/>
          <w:szCs w:val="24"/>
        </w:rPr>
        <w:t>机构设置情况</w:t>
      </w:r>
    </w:p>
    <w:tbl>
      <w:tblPr>
        <w:tblStyle w:val="7"/>
        <w:tblW w:w="9729" w:type="dxa"/>
        <w:jc w:val="center"/>
        <w:tblInd w:w="-59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415"/>
        <w:gridCol w:w="2136"/>
        <w:gridCol w:w="1276"/>
        <w:gridCol w:w="290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00" w:hRule="atLeast"/>
          <w:tblHeader/>
          <w:jc w:val="center"/>
        </w:trPr>
        <w:tc>
          <w:tcPr>
            <w:tcW w:w="3415" w:type="dxa"/>
            <w:vMerge w:val="restart"/>
            <w:vAlign w:val="center"/>
          </w:tcPr>
          <w:p>
            <w:pPr>
              <w:spacing w:line="300" w:lineRule="exact"/>
              <w:jc w:val="center"/>
              <w:rPr>
                <w:rFonts w:ascii="Times New Roman" w:hAnsi="Times New Roman" w:eastAsia="方正书宋_GBK" w:cs="Times New Roman"/>
                <w:b/>
                <w:szCs w:val="24"/>
              </w:rPr>
            </w:pPr>
            <w:r>
              <w:rPr>
                <w:rFonts w:ascii="Times New Roman" w:hAnsi="Times New Roman" w:eastAsia="方正书宋_GBK" w:cs="Times New Roman"/>
                <w:b/>
                <w:szCs w:val="24"/>
              </w:rPr>
              <w:t>单位名称</w:t>
            </w:r>
          </w:p>
        </w:tc>
        <w:tc>
          <w:tcPr>
            <w:tcW w:w="2136" w:type="dxa"/>
            <w:vMerge w:val="restart"/>
            <w:vAlign w:val="center"/>
          </w:tcPr>
          <w:p>
            <w:pPr>
              <w:spacing w:line="300" w:lineRule="exact"/>
              <w:jc w:val="center"/>
              <w:rPr>
                <w:rFonts w:ascii="Times New Roman" w:hAnsi="Times New Roman" w:eastAsia="方正书宋_GBK" w:cs="Times New Roman"/>
                <w:b/>
                <w:szCs w:val="24"/>
              </w:rPr>
            </w:pPr>
            <w:r>
              <w:rPr>
                <w:rFonts w:ascii="Times New Roman" w:hAnsi="Times New Roman" w:eastAsia="方正书宋_GBK" w:cs="Times New Roman"/>
                <w:b/>
                <w:szCs w:val="24"/>
              </w:rPr>
              <w:t>单位性质</w:t>
            </w:r>
          </w:p>
        </w:tc>
        <w:tc>
          <w:tcPr>
            <w:tcW w:w="1276" w:type="dxa"/>
            <w:vMerge w:val="restart"/>
            <w:vAlign w:val="center"/>
          </w:tcPr>
          <w:p>
            <w:pPr>
              <w:spacing w:line="300" w:lineRule="exact"/>
              <w:jc w:val="center"/>
              <w:rPr>
                <w:rFonts w:ascii="Times New Roman" w:hAnsi="Times New Roman" w:eastAsia="方正书宋_GBK" w:cs="Times New Roman"/>
                <w:b/>
                <w:szCs w:val="24"/>
              </w:rPr>
            </w:pPr>
            <w:r>
              <w:rPr>
                <w:rFonts w:ascii="Times New Roman" w:hAnsi="Times New Roman" w:eastAsia="方正书宋_GBK" w:cs="Times New Roman"/>
                <w:b/>
                <w:szCs w:val="24"/>
              </w:rPr>
              <w:t>单位规格</w:t>
            </w:r>
          </w:p>
        </w:tc>
        <w:tc>
          <w:tcPr>
            <w:tcW w:w="2902" w:type="dxa"/>
            <w:vMerge w:val="restart"/>
            <w:vAlign w:val="center"/>
          </w:tcPr>
          <w:p>
            <w:pPr>
              <w:spacing w:line="300" w:lineRule="exact"/>
              <w:jc w:val="center"/>
              <w:rPr>
                <w:rFonts w:ascii="Times New Roman" w:hAnsi="Times New Roman" w:eastAsia="方正书宋_GBK" w:cs="Times New Roman"/>
                <w:b/>
                <w:szCs w:val="24"/>
              </w:rPr>
            </w:pPr>
            <w:r>
              <w:rPr>
                <w:rFonts w:ascii="Times New Roman" w:hAnsi="Times New Roman" w:eastAsia="方正书宋_GBK" w:cs="Times New Roman"/>
                <w:b/>
                <w:szCs w:val="24"/>
              </w:rPr>
              <w:t>经费保障形式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00" w:hRule="atLeast"/>
          <w:tblHeader/>
          <w:jc w:val="center"/>
        </w:trPr>
        <w:tc>
          <w:tcPr>
            <w:tcW w:w="3415" w:type="dxa"/>
            <w:vMerge w:val="continue"/>
            <w:vAlign w:val="center"/>
          </w:tcPr>
          <w:p>
            <w:pPr>
              <w:spacing w:line="300" w:lineRule="exact"/>
              <w:jc w:val="left"/>
              <w:outlineLvl w:val="0"/>
              <w:rPr>
                <w:rFonts w:ascii="Times New Roman" w:hAnsi="Times New Roman" w:cs="Times New Roman"/>
                <w:szCs w:val="24"/>
              </w:rPr>
            </w:pPr>
          </w:p>
        </w:tc>
        <w:tc>
          <w:tcPr>
            <w:tcW w:w="2136" w:type="dxa"/>
            <w:vMerge w:val="continue"/>
            <w:vAlign w:val="center"/>
          </w:tcPr>
          <w:p>
            <w:pPr>
              <w:spacing w:line="300" w:lineRule="exact"/>
              <w:jc w:val="left"/>
              <w:outlineLvl w:val="0"/>
              <w:rPr>
                <w:rFonts w:ascii="Times New Roman" w:hAnsi="Times New Roman" w:cs="Times New Roman"/>
                <w:szCs w:val="24"/>
              </w:rPr>
            </w:pPr>
          </w:p>
        </w:tc>
        <w:tc>
          <w:tcPr>
            <w:tcW w:w="1276" w:type="dxa"/>
            <w:vMerge w:val="continue"/>
            <w:vAlign w:val="center"/>
          </w:tcPr>
          <w:p>
            <w:pPr>
              <w:spacing w:line="300" w:lineRule="exact"/>
              <w:jc w:val="left"/>
              <w:outlineLvl w:val="0"/>
              <w:rPr>
                <w:rFonts w:ascii="Times New Roman" w:hAnsi="Times New Roman" w:cs="Times New Roman"/>
                <w:szCs w:val="24"/>
              </w:rPr>
            </w:pPr>
          </w:p>
        </w:tc>
        <w:tc>
          <w:tcPr>
            <w:tcW w:w="2902" w:type="dxa"/>
            <w:vMerge w:val="continue"/>
            <w:vAlign w:val="center"/>
          </w:tcPr>
          <w:p>
            <w:pPr>
              <w:spacing w:line="300" w:lineRule="exact"/>
              <w:jc w:val="left"/>
              <w:outlineLvl w:val="0"/>
              <w:rPr>
                <w:rFonts w:ascii="Times New Roman" w:hAnsi="Times New Roman" w:cs="Times New Roman"/>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3415" w:type="dxa"/>
            <w:vAlign w:val="center"/>
          </w:tcPr>
          <w:p>
            <w:pPr>
              <w:spacing w:line="300" w:lineRule="exact"/>
              <w:jc w:val="left"/>
              <w:rPr>
                <w:rFonts w:ascii="Times New Roman" w:hAnsi="Times New Roman" w:eastAsia="方正书宋_GBK" w:cs="Times New Roman"/>
                <w:szCs w:val="24"/>
              </w:rPr>
            </w:pPr>
            <w:r>
              <w:rPr>
                <w:rFonts w:hint="eastAsia" w:ascii="方正书宋_GBK" w:eastAsia="方正书宋_GBK"/>
              </w:rPr>
              <w:t>承德市社会科学界联合会</w:t>
            </w:r>
          </w:p>
        </w:tc>
        <w:tc>
          <w:tcPr>
            <w:tcW w:w="2136" w:type="dxa"/>
            <w:vAlign w:val="center"/>
          </w:tcPr>
          <w:p>
            <w:pPr>
              <w:spacing w:line="300" w:lineRule="exact"/>
              <w:jc w:val="center"/>
              <w:rPr>
                <w:rFonts w:hint="eastAsia" w:ascii="Times New Roman" w:hAnsi="Times New Roman" w:eastAsia="方正书宋_GBK" w:cs="Times New Roman"/>
                <w:szCs w:val="24"/>
                <w:lang w:eastAsia="zh-CN"/>
              </w:rPr>
            </w:pPr>
            <w:r>
              <w:rPr>
                <w:rFonts w:hint="eastAsia" w:ascii="方正书宋_GBK" w:eastAsia="方正书宋_GBK"/>
                <w:lang w:eastAsia="zh-CN"/>
              </w:rPr>
              <w:t>行政</w:t>
            </w:r>
            <w:bookmarkStart w:id="4" w:name="_GoBack"/>
            <w:bookmarkEnd w:id="4"/>
          </w:p>
        </w:tc>
        <w:tc>
          <w:tcPr>
            <w:tcW w:w="1276" w:type="dxa"/>
            <w:vAlign w:val="center"/>
          </w:tcPr>
          <w:p>
            <w:pPr>
              <w:spacing w:line="300" w:lineRule="exact"/>
              <w:jc w:val="center"/>
              <w:rPr>
                <w:rFonts w:ascii="Times New Roman" w:hAnsi="Times New Roman" w:eastAsia="方正书宋_GBK" w:cs="Times New Roman"/>
                <w:szCs w:val="24"/>
              </w:rPr>
            </w:pPr>
            <w:r>
              <w:rPr>
                <w:rFonts w:hint="eastAsia" w:ascii="Times New Roman" w:hAnsi="Times New Roman" w:eastAsia="方正书宋_GBK" w:cs="Times New Roman"/>
                <w:szCs w:val="24"/>
              </w:rPr>
              <w:t>正处级</w:t>
            </w:r>
          </w:p>
        </w:tc>
        <w:tc>
          <w:tcPr>
            <w:tcW w:w="2902" w:type="dxa"/>
            <w:vAlign w:val="center"/>
          </w:tcPr>
          <w:p>
            <w:pPr>
              <w:spacing w:line="300" w:lineRule="exact"/>
              <w:jc w:val="center"/>
              <w:rPr>
                <w:rFonts w:ascii="Times New Roman" w:hAnsi="Times New Roman" w:eastAsia="方正书宋_GBK" w:cs="Times New Roman"/>
                <w:szCs w:val="24"/>
              </w:rPr>
            </w:pPr>
            <w:r>
              <w:rPr>
                <w:rFonts w:hint="eastAsia" w:ascii="方正书宋_GBK" w:eastAsia="方正书宋_GBK"/>
              </w:rPr>
              <w:t>财政拨款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3415" w:type="dxa"/>
            <w:vAlign w:val="center"/>
          </w:tcPr>
          <w:p>
            <w:pPr>
              <w:spacing w:line="300" w:lineRule="exact"/>
              <w:jc w:val="left"/>
              <w:rPr>
                <w:rFonts w:ascii="Times New Roman" w:hAnsi="Times New Roman" w:eastAsia="方正书宋_GBK" w:cs="Times New Roman"/>
                <w:szCs w:val="24"/>
              </w:rPr>
            </w:pPr>
          </w:p>
        </w:tc>
        <w:tc>
          <w:tcPr>
            <w:tcW w:w="2136" w:type="dxa"/>
            <w:vAlign w:val="center"/>
          </w:tcPr>
          <w:p>
            <w:pPr>
              <w:spacing w:line="300" w:lineRule="exact"/>
              <w:jc w:val="center"/>
              <w:rPr>
                <w:rFonts w:ascii="Times New Roman" w:hAnsi="Times New Roman" w:eastAsia="方正书宋_GBK" w:cs="Times New Roman"/>
                <w:szCs w:val="24"/>
              </w:rPr>
            </w:pPr>
          </w:p>
        </w:tc>
        <w:tc>
          <w:tcPr>
            <w:tcW w:w="1276" w:type="dxa"/>
            <w:vAlign w:val="center"/>
          </w:tcPr>
          <w:p>
            <w:pPr>
              <w:spacing w:line="300" w:lineRule="exact"/>
              <w:jc w:val="center"/>
              <w:rPr>
                <w:rFonts w:ascii="Times New Roman" w:hAnsi="Times New Roman" w:eastAsia="方正书宋_GBK" w:cs="Times New Roman"/>
                <w:szCs w:val="24"/>
              </w:rPr>
            </w:pPr>
          </w:p>
        </w:tc>
        <w:tc>
          <w:tcPr>
            <w:tcW w:w="2902" w:type="dxa"/>
            <w:vAlign w:val="center"/>
          </w:tcPr>
          <w:p>
            <w:pPr>
              <w:spacing w:line="300" w:lineRule="exact"/>
              <w:jc w:val="center"/>
              <w:rPr>
                <w:rFonts w:ascii="Times New Roman" w:hAnsi="Times New Roman" w:eastAsia="方正书宋_GBK" w:cs="Times New Roman"/>
                <w:szCs w:val="24"/>
              </w:rPr>
            </w:pPr>
          </w:p>
        </w:tc>
      </w:tr>
    </w:tbl>
    <w:p>
      <w:pPr>
        <w:rPr>
          <w:rFonts w:ascii="仿宋_GB2312" w:hAnsi="仿宋_GB2312" w:eastAsia="仿宋_GB2312" w:cs="仿宋_GB2312"/>
          <w:sz w:val="32"/>
          <w:szCs w:val="32"/>
        </w:rPr>
      </w:pPr>
    </w:p>
    <w:p>
      <w:pPr>
        <w:ind w:firstLine="640"/>
        <w:rPr>
          <w:rFonts w:ascii="黑体" w:hAnsi="黑体" w:eastAsia="黑体" w:cs="Times New Roman"/>
          <w:sz w:val="32"/>
          <w:szCs w:val="32"/>
        </w:rPr>
      </w:pPr>
      <w:r>
        <w:rPr>
          <w:rFonts w:hint="eastAsia" w:ascii="黑体" w:hAnsi="黑体" w:eastAsia="黑体" w:cs="Times New Roman"/>
          <w:sz w:val="32"/>
          <w:szCs w:val="32"/>
        </w:rPr>
        <w:t>二、部门预算安排的总体情况</w:t>
      </w:r>
    </w:p>
    <w:p>
      <w:pPr>
        <w:ind w:firstLine="640"/>
        <w:rPr>
          <w:rFonts w:hint="eastAsia" w:ascii="仿宋" w:hAnsi="仿宋" w:eastAsia="仿宋" w:cs="仿宋"/>
          <w:sz w:val="32"/>
          <w:szCs w:val="32"/>
          <w:lang w:eastAsia="zh-CN"/>
        </w:rPr>
      </w:pPr>
      <w:r>
        <w:rPr>
          <w:rFonts w:hint="eastAsia" w:ascii="仿宋" w:hAnsi="仿宋" w:eastAsia="仿宋" w:cs="仿宋"/>
          <w:sz w:val="32"/>
          <w:szCs w:val="32"/>
        </w:rPr>
        <w:t>按照预算管理有关规定，目前我省部门预算的编制实行综合预算制度，即全部收入和支出都反映的预算中。</w:t>
      </w:r>
      <w:r>
        <w:rPr>
          <w:rFonts w:hint="eastAsia" w:ascii="仿宋" w:hAnsi="仿宋" w:eastAsia="仿宋" w:cs="仿宋"/>
          <w:sz w:val="32"/>
          <w:szCs w:val="32"/>
          <w:lang w:eastAsia="zh-CN"/>
        </w:rPr>
        <w:t>市社科联无下属单位，所以收支只包含本部门预算。</w:t>
      </w:r>
    </w:p>
    <w:p>
      <w:pPr>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1、</w:t>
      </w:r>
      <w:r>
        <w:rPr>
          <w:rFonts w:ascii="Times New Roman" w:hAnsi="Times New Roman" w:eastAsia="方正仿宋_GBK" w:cs="Times New Roman"/>
          <w:sz w:val="32"/>
          <w:szCs w:val="32"/>
        </w:rPr>
        <w:t>收入说明</w:t>
      </w:r>
      <w:r>
        <w:rPr>
          <w:rFonts w:hint="eastAsia" w:ascii="Times New Roman" w:hAnsi="Times New Roman" w:eastAsia="方正仿宋_GBK" w:cs="Times New Roman"/>
          <w:sz w:val="32"/>
          <w:szCs w:val="32"/>
        </w:rPr>
        <w:t xml:space="preserve"> </w:t>
      </w:r>
    </w:p>
    <w:p>
      <w:pPr>
        <w:ind w:firstLine="640" w:firstLineChars="200"/>
        <w:rPr>
          <w:rFonts w:ascii="Times New Roman" w:hAnsi="Times New Roman" w:eastAsia="方正仿宋_GBK" w:cs="Times New Roman"/>
          <w:sz w:val="32"/>
          <w:szCs w:val="32"/>
        </w:rPr>
      </w:pPr>
      <w:r>
        <w:rPr>
          <w:rFonts w:hint="eastAsia" w:ascii="仿宋_GB2312" w:hAnsi="仿宋_GB2312" w:eastAsia="仿宋_GB2312" w:cs="仿宋_GB2312"/>
          <w:sz w:val="32"/>
          <w:szCs w:val="32"/>
        </w:rPr>
        <w:t>反映本部门当年全部收入，201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年预算收入</w:t>
      </w:r>
      <w:r>
        <w:rPr>
          <w:rFonts w:hint="eastAsia" w:ascii="仿宋_GB2312" w:hAnsi="仿宋_GB2312" w:eastAsia="仿宋_GB2312" w:cs="仿宋_GB2312"/>
          <w:sz w:val="32"/>
          <w:szCs w:val="32"/>
          <w:lang w:val="en-US" w:eastAsia="zh-CN"/>
        </w:rPr>
        <w:t>166.44</w:t>
      </w:r>
      <w:r>
        <w:rPr>
          <w:rFonts w:hint="eastAsia" w:ascii="仿宋_GB2312" w:hAnsi="仿宋_GB2312" w:eastAsia="仿宋_GB2312" w:cs="仿宋_GB2312"/>
          <w:sz w:val="32"/>
          <w:szCs w:val="32"/>
        </w:rPr>
        <w:t>万元，其中：非限额补助1</w:t>
      </w:r>
      <w:r>
        <w:rPr>
          <w:rFonts w:hint="eastAsia" w:ascii="仿宋_GB2312" w:hAnsi="仿宋_GB2312" w:eastAsia="仿宋_GB2312" w:cs="仿宋_GB2312"/>
          <w:sz w:val="32"/>
          <w:szCs w:val="32"/>
          <w:lang w:val="en-US" w:eastAsia="zh-CN"/>
        </w:rPr>
        <w:t>66.44</w:t>
      </w:r>
      <w:r>
        <w:rPr>
          <w:rFonts w:hint="eastAsia" w:ascii="仿宋_GB2312" w:hAnsi="仿宋_GB2312" w:eastAsia="仿宋_GB2312" w:cs="仿宋_GB2312"/>
          <w:sz w:val="32"/>
          <w:szCs w:val="32"/>
        </w:rPr>
        <w:t>万元。</w:t>
      </w:r>
    </w:p>
    <w:p>
      <w:pPr>
        <w:numPr>
          <w:ilvl w:val="0"/>
          <w:numId w:val="1"/>
        </w:numPr>
        <w:ind w:firstLine="640"/>
        <w:rPr>
          <w:rFonts w:ascii="Times New Roman" w:hAnsi="Times New Roman" w:eastAsia="方正仿宋_GBK" w:cs="Times New Roman"/>
          <w:sz w:val="32"/>
          <w:szCs w:val="32"/>
        </w:rPr>
      </w:pPr>
      <w:r>
        <w:rPr>
          <w:rFonts w:ascii="Times New Roman" w:hAnsi="Times New Roman" w:eastAsia="方正仿宋_GBK" w:cs="Times New Roman"/>
          <w:sz w:val="32"/>
          <w:szCs w:val="32"/>
        </w:rPr>
        <w:t>支出说明</w:t>
      </w:r>
    </w:p>
    <w:p>
      <w:pPr>
        <w:rPr>
          <w:rFonts w:ascii="仿宋_GB2312" w:hAnsi="仿宋_GB2312" w:eastAsia="仿宋_GB2312" w:cs="仿宋_GB2312"/>
          <w:sz w:val="32"/>
          <w:szCs w:val="32"/>
        </w:rPr>
      </w:pPr>
      <w:r>
        <w:rPr>
          <w:rFonts w:hint="eastAsia" w:ascii="Times New Roman" w:hAnsi="Times New Roman" w:eastAsia="方正仿宋_GBK" w:cs="Times New Roman"/>
          <w:sz w:val="32"/>
          <w:szCs w:val="32"/>
        </w:rPr>
        <w:t xml:space="preserve">    </w:t>
      </w:r>
      <w:r>
        <w:rPr>
          <w:rFonts w:hint="eastAsia" w:ascii="仿宋_GB2312" w:hAnsi="仿宋_GB2312" w:eastAsia="仿宋_GB2312" w:cs="仿宋_GB2312"/>
          <w:sz w:val="32"/>
          <w:szCs w:val="32"/>
        </w:rPr>
        <w:t xml:space="preserve"> 收支预算总表支出栏、基本支出表、项目支出表按经济分类和支出功能分类科目编制，反映承德市社会科学界联合会年度部门预算中支出预算的总体情况。201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年部门支出预算为1</w:t>
      </w:r>
      <w:r>
        <w:rPr>
          <w:rFonts w:hint="eastAsia" w:ascii="仿宋_GB2312" w:hAnsi="仿宋_GB2312" w:eastAsia="仿宋_GB2312" w:cs="仿宋_GB2312"/>
          <w:sz w:val="32"/>
          <w:szCs w:val="32"/>
          <w:lang w:val="en-US" w:eastAsia="zh-CN"/>
        </w:rPr>
        <w:t>66.44</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136.44</w:t>
      </w:r>
      <w:r>
        <w:rPr>
          <w:rFonts w:hint="eastAsia" w:ascii="仿宋_GB2312" w:hAnsi="仿宋_GB2312" w:eastAsia="仿宋_GB2312" w:cs="仿宋_GB2312"/>
          <w:sz w:val="32"/>
          <w:szCs w:val="32"/>
        </w:rPr>
        <w:t>万元，包括人员经费1</w:t>
      </w:r>
      <w:r>
        <w:rPr>
          <w:rFonts w:hint="eastAsia" w:ascii="仿宋_GB2312" w:hAnsi="仿宋_GB2312" w:eastAsia="仿宋_GB2312" w:cs="仿宋_GB2312"/>
          <w:sz w:val="32"/>
          <w:szCs w:val="32"/>
          <w:lang w:val="en-US" w:eastAsia="zh-CN"/>
        </w:rPr>
        <w:t>20.06</w:t>
      </w:r>
      <w:r>
        <w:rPr>
          <w:rFonts w:hint="eastAsia" w:ascii="仿宋_GB2312" w:hAnsi="仿宋_GB2312" w:eastAsia="仿宋_GB2312" w:cs="仿宋_GB2312"/>
          <w:sz w:val="32"/>
          <w:szCs w:val="32"/>
        </w:rPr>
        <w:t>万元和日常公用经费16.3</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万元，全部为本级支出。</w:t>
      </w:r>
    </w:p>
    <w:p>
      <w:pPr>
        <w:numPr>
          <w:ilvl w:val="0"/>
          <w:numId w:val="1"/>
        </w:numPr>
        <w:ind w:firstLine="640"/>
        <w:rPr>
          <w:rFonts w:ascii="Times New Roman" w:hAnsi="Times New Roman" w:eastAsia="方正仿宋_GBK" w:cs="Times New Roman"/>
          <w:sz w:val="32"/>
          <w:szCs w:val="32"/>
        </w:rPr>
      </w:pPr>
      <w:r>
        <w:rPr>
          <w:rFonts w:ascii="Times New Roman" w:hAnsi="Times New Roman" w:eastAsia="方正仿宋_GBK" w:cs="Times New Roman"/>
          <w:sz w:val="32"/>
          <w:szCs w:val="32"/>
        </w:rPr>
        <w:t>比上年增减情况</w:t>
      </w:r>
    </w:p>
    <w:p>
      <w:pPr>
        <w:rPr>
          <w:rFonts w:ascii="仿宋_GB2312" w:hAnsi="仿宋_GB2312" w:eastAsia="仿宋_GB2312" w:cs="仿宋_GB2312"/>
          <w:sz w:val="32"/>
          <w:szCs w:val="32"/>
        </w:rPr>
      </w:pPr>
      <w:r>
        <w:rPr>
          <w:rFonts w:hint="eastAsia" w:ascii="Times New Roman" w:hAnsi="Times New Roman" w:eastAsia="方正仿宋_GBK" w:cs="Times New Roman"/>
          <w:sz w:val="32"/>
          <w:szCs w:val="32"/>
        </w:rPr>
        <w:t xml:space="preserve">   </w:t>
      </w:r>
      <w:r>
        <w:rPr>
          <w:rFonts w:hint="eastAsia" w:ascii="仿宋_GB2312" w:hAnsi="仿宋_GB2312" w:eastAsia="仿宋_GB2312" w:cs="仿宋_GB2312"/>
          <w:sz w:val="32"/>
          <w:szCs w:val="32"/>
        </w:rPr>
        <w:t xml:space="preserve"> 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年部门预算较201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7.92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减少4.54%，</w:t>
      </w:r>
      <w:r>
        <w:rPr>
          <w:rFonts w:hint="eastAsia" w:ascii="仿宋_GB2312" w:hAnsi="仿宋_GB2312" w:eastAsia="仿宋_GB2312" w:cs="仿宋_GB2312"/>
          <w:sz w:val="32"/>
          <w:szCs w:val="32"/>
        </w:rPr>
        <w:t>其中：项目支出</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减少了</w:t>
      </w:r>
      <w:r>
        <w:rPr>
          <w:rFonts w:hint="eastAsia" w:ascii="仿宋_GB2312" w:hAnsi="仿宋_GB2312" w:eastAsia="仿宋_GB2312" w:cs="仿宋_GB2312"/>
          <w:sz w:val="32"/>
          <w:szCs w:val="32"/>
          <w:lang w:val="en-US" w:eastAsia="zh-CN"/>
        </w:rPr>
        <w:t>45.5%，</w:t>
      </w:r>
      <w:r>
        <w:rPr>
          <w:rFonts w:hint="eastAsia" w:ascii="仿宋_GB2312" w:hAnsi="仿宋_GB2312" w:eastAsia="仿宋_GB2312" w:cs="仿宋_GB2312"/>
          <w:sz w:val="32"/>
          <w:szCs w:val="32"/>
        </w:rPr>
        <w:t>主要是</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rPr>
        <w:t>了会议费和两年一次的承德市社会科学优秀成果评奖经费的预算。</w:t>
      </w:r>
    </w:p>
    <w:p>
      <w:pPr>
        <w:autoSpaceDE w:val="0"/>
        <w:autoSpaceDN w:val="0"/>
        <w:adjustRightInd w:val="0"/>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三、机关运行经费安排情况</w:t>
      </w:r>
    </w:p>
    <w:p>
      <w:pPr>
        <w:autoSpaceDE w:val="0"/>
        <w:autoSpaceDN w:val="0"/>
        <w:adjustRightInd w:val="0"/>
        <w:ind w:left="198"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机关运行经费共计安排16.3</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其中办公费</w:t>
      </w:r>
      <w:r>
        <w:rPr>
          <w:rFonts w:hint="eastAsia" w:ascii="仿宋_GB2312" w:hAnsi="仿宋_GB2312" w:eastAsia="仿宋_GB2312" w:cs="仿宋_GB2312"/>
          <w:sz w:val="32"/>
          <w:szCs w:val="32"/>
          <w:lang w:val="en-US" w:eastAsia="zh-CN"/>
        </w:rPr>
        <w:t>2.54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val="en-US" w:eastAsia="zh-CN"/>
        </w:rPr>
        <w:t>3.74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val="en-US" w:eastAsia="zh-CN"/>
        </w:rPr>
        <w:t>0.6</w:t>
      </w:r>
      <w:r>
        <w:rPr>
          <w:rFonts w:hint="eastAsia" w:ascii="仿宋_GB2312" w:hAnsi="仿宋_GB2312" w:eastAsia="仿宋_GB2312" w:cs="仿宋_GB2312"/>
          <w:sz w:val="32"/>
          <w:szCs w:val="32"/>
        </w:rPr>
        <w:t>万元、工会经费</w:t>
      </w:r>
      <w:r>
        <w:rPr>
          <w:rFonts w:hint="eastAsia" w:ascii="仿宋_GB2312" w:hAnsi="仿宋_GB2312" w:eastAsia="仿宋_GB2312" w:cs="仿宋_GB2312"/>
          <w:sz w:val="32"/>
          <w:szCs w:val="32"/>
          <w:lang w:val="en-US" w:eastAsia="zh-CN"/>
        </w:rPr>
        <w:t>0.69</w:t>
      </w:r>
      <w:r>
        <w:rPr>
          <w:rFonts w:hint="eastAsia" w:ascii="仿宋_GB2312" w:hAnsi="仿宋_GB2312" w:eastAsia="仿宋_GB2312" w:cs="仿宋_GB2312"/>
          <w:sz w:val="32"/>
          <w:szCs w:val="32"/>
        </w:rPr>
        <w:t>万元、福利费</w:t>
      </w:r>
      <w:r>
        <w:rPr>
          <w:rFonts w:hint="eastAsia" w:ascii="仿宋_GB2312" w:hAnsi="仿宋_GB2312" w:eastAsia="仿宋_GB2312" w:cs="仿宋_GB2312"/>
          <w:sz w:val="32"/>
          <w:szCs w:val="32"/>
          <w:lang w:val="en-US" w:eastAsia="zh-CN"/>
        </w:rPr>
        <w:t>0.80</w:t>
      </w:r>
      <w:r>
        <w:rPr>
          <w:rFonts w:hint="eastAsia" w:ascii="仿宋_GB2312" w:hAnsi="仿宋_GB2312" w:eastAsia="仿宋_GB2312" w:cs="仿宋_GB2312"/>
          <w:sz w:val="32"/>
          <w:szCs w:val="32"/>
        </w:rPr>
        <w:t>万元、公务接待费</w:t>
      </w:r>
      <w:r>
        <w:rPr>
          <w:rFonts w:hint="eastAsia" w:ascii="仿宋_GB2312" w:hAnsi="仿宋_GB2312" w:eastAsia="仿宋_GB2312" w:cs="仿宋_GB2312"/>
          <w:sz w:val="32"/>
          <w:szCs w:val="32"/>
          <w:lang w:val="en-US" w:eastAsia="zh-CN"/>
        </w:rPr>
        <w:t>0.11</w:t>
      </w:r>
      <w:r>
        <w:rPr>
          <w:rFonts w:hint="eastAsia" w:ascii="仿宋_GB2312" w:hAnsi="仿宋_GB2312" w:eastAsia="仿宋_GB2312" w:cs="仿宋_GB2312"/>
          <w:sz w:val="32"/>
          <w:szCs w:val="32"/>
        </w:rPr>
        <w:t>万元、其他交通费用</w:t>
      </w:r>
      <w:r>
        <w:rPr>
          <w:rFonts w:hint="eastAsia" w:ascii="仿宋_GB2312" w:hAnsi="仿宋_GB2312" w:eastAsia="仿宋_GB2312" w:cs="仿宋_GB2312"/>
          <w:color w:val="auto"/>
          <w:sz w:val="32"/>
          <w:szCs w:val="32"/>
          <w:lang w:val="en-US" w:eastAsia="zh-CN"/>
        </w:rPr>
        <w:t>6.05</w:t>
      </w:r>
      <w:r>
        <w:rPr>
          <w:rFonts w:hint="eastAsia" w:ascii="仿宋_GB2312" w:hAnsi="仿宋_GB2312" w:eastAsia="仿宋_GB2312" w:cs="仿宋_GB2312"/>
          <w:sz w:val="32"/>
          <w:szCs w:val="32"/>
        </w:rPr>
        <w:t>万元、公务车运行维护费</w:t>
      </w:r>
      <w:r>
        <w:rPr>
          <w:rFonts w:hint="eastAsia" w:ascii="仿宋_GB2312" w:hAnsi="仿宋_GB2312" w:eastAsia="仿宋_GB2312" w:cs="仿宋_GB2312"/>
          <w:sz w:val="32"/>
          <w:szCs w:val="32"/>
          <w:lang w:val="en-US" w:eastAsia="zh-CN"/>
        </w:rPr>
        <w:t>0.70</w:t>
      </w:r>
      <w:r>
        <w:rPr>
          <w:rFonts w:hint="eastAsia" w:ascii="仿宋_GB2312" w:hAnsi="仿宋_GB2312" w:eastAsia="仿宋_GB2312" w:cs="仿宋_GB2312"/>
          <w:sz w:val="32"/>
          <w:szCs w:val="32"/>
        </w:rPr>
        <w:t>万元以及其他商品和服务支出</w:t>
      </w:r>
      <w:r>
        <w:rPr>
          <w:rFonts w:hint="eastAsia" w:ascii="仿宋_GB2312" w:hAnsi="仿宋_GB2312" w:eastAsia="仿宋_GB2312" w:cs="仿宋_GB2312"/>
          <w:sz w:val="32"/>
          <w:szCs w:val="32"/>
          <w:lang w:val="en-US" w:eastAsia="zh-CN"/>
        </w:rPr>
        <w:t>1.15</w:t>
      </w:r>
      <w:r>
        <w:rPr>
          <w:rFonts w:hint="eastAsia" w:ascii="仿宋_GB2312" w:hAnsi="仿宋_GB2312" w:eastAsia="仿宋_GB2312" w:cs="仿宋_GB2312"/>
          <w:sz w:val="32"/>
          <w:szCs w:val="32"/>
        </w:rPr>
        <w:t>万元。</w:t>
      </w:r>
    </w:p>
    <w:p>
      <w:pPr>
        <w:autoSpaceDE w:val="0"/>
        <w:autoSpaceDN w:val="0"/>
        <w:adjustRightInd w:val="0"/>
        <w:jc w:val="left"/>
        <w:rPr>
          <w:rFonts w:ascii="黑体" w:hAnsi="黑体" w:eastAsia="黑体" w:cs="Times New Roman"/>
          <w:sz w:val="32"/>
          <w:szCs w:val="32"/>
        </w:rPr>
      </w:pPr>
      <w:r>
        <w:rPr>
          <w:rFonts w:hint="eastAsia" w:ascii="黑体" w:hAnsi="黑体" w:eastAsia="黑体" w:cs="Times New Roman"/>
          <w:sz w:val="32"/>
          <w:szCs w:val="32"/>
        </w:rPr>
        <w:t xml:space="preserve">    四、财政拨款</w:t>
      </w:r>
      <w:r>
        <w:rPr>
          <w:rFonts w:ascii="黑体" w:hAnsi="黑体" w:eastAsia="黑体" w:cs="Times New Roman"/>
          <w:sz w:val="32"/>
          <w:szCs w:val="32"/>
        </w:rPr>
        <w:t>“</w:t>
      </w:r>
      <w:r>
        <w:rPr>
          <w:rFonts w:hint="eastAsia" w:ascii="黑体" w:hAnsi="黑体" w:eastAsia="黑体" w:cs="Times New Roman"/>
          <w:sz w:val="32"/>
          <w:szCs w:val="32"/>
        </w:rPr>
        <w:t>三公</w:t>
      </w:r>
      <w:r>
        <w:rPr>
          <w:rFonts w:ascii="黑体" w:hAnsi="黑体" w:eastAsia="黑体" w:cs="Times New Roman"/>
          <w:sz w:val="32"/>
          <w:szCs w:val="32"/>
        </w:rPr>
        <w:t>”</w:t>
      </w:r>
      <w:r>
        <w:rPr>
          <w:rFonts w:hint="eastAsia" w:ascii="黑体" w:hAnsi="黑体" w:eastAsia="黑体" w:cs="Times New Roman"/>
          <w:sz w:val="32"/>
          <w:szCs w:val="32"/>
        </w:rPr>
        <w:t>经费预算情况及增减变化原因</w:t>
      </w:r>
    </w:p>
    <w:p>
      <w:pPr>
        <w:autoSpaceDE w:val="0"/>
        <w:autoSpaceDN w:val="0"/>
        <w:adjustRightInd w:val="0"/>
        <w:ind w:left="198"/>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年，财政拨款“三公”经费预算安排0.81万元，其中：因公出国（境）费0万元；公务用车购置及运维费0.70万元（其中：公务用车运行费0.70万元),与201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年持平，无增减变化；公务接待费0.11万元，与201</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年持平，无增减变化。</w:t>
      </w:r>
    </w:p>
    <w:p>
      <w:pPr>
        <w:autoSpaceDE w:val="0"/>
        <w:autoSpaceDN w:val="0"/>
        <w:adjustRightInd w:val="0"/>
        <w:ind w:left="198" w:firstLine="640" w:firstLineChars="200"/>
        <w:jc w:val="left"/>
        <w:rPr>
          <w:rFonts w:ascii="黑体" w:hAnsi="黑体" w:eastAsia="黑体" w:cs="Times New Roman"/>
          <w:sz w:val="32"/>
          <w:szCs w:val="32"/>
        </w:rPr>
      </w:pPr>
      <w:r>
        <w:rPr>
          <w:rFonts w:hint="eastAsia" w:ascii="黑体" w:hAnsi="黑体" w:eastAsia="黑体" w:cs="Times New Roman"/>
          <w:sz w:val="32"/>
          <w:szCs w:val="32"/>
        </w:rPr>
        <w:t>五、绩效预算信息</w:t>
      </w:r>
    </w:p>
    <w:p>
      <w:pPr>
        <w:ind w:firstLine="640" w:firstLineChars="200"/>
        <w:jc w:val="left"/>
        <w:rPr>
          <w:rFonts w:ascii="Times New Roman" w:hAnsi="Times New Roman" w:eastAsia="方正仿宋_GBK" w:cs="Times New Roman"/>
          <w:b/>
          <w:sz w:val="32"/>
          <w:szCs w:val="32"/>
        </w:rPr>
      </w:pPr>
      <w:bookmarkStart w:id="0" w:name="_Toc471398463"/>
      <w:r>
        <w:rPr>
          <w:rFonts w:hint="eastAsia" w:ascii="Times New Roman" w:hAnsi="Times New Roman" w:eastAsia="方正仿宋_GBK" w:cs="Times New Roman"/>
          <w:b/>
          <w:sz w:val="32"/>
          <w:szCs w:val="32"/>
        </w:rPr>
        <w:t xml:space="preserve"> </w:t>
      </w:r>
      <w:r>
        <w:rPr>
          <w:rFonts w:ascii="Times New Roman" w:hAnsi="Times New Roman" w:eastAsia="方正仿宋_GBK" w:cs="Times New Roman"/>
          <w:b/>
          <w:sz w:val="32"/>
          <w:szCs w:val="32"/>
        </w:rPr>
        <w:t>总体绩效目标：</w:t>
      </w:r>
    </w:p>
    <w:p>
      <w:pPr>
        <w:spacing w:line="580" w:lineRule="exact"/>
        <w:rPr>
          <w:rFonts w:ascii="仿宋" w:hAnsi="仿宋" w:eastAsia="仿宋" w:cs="宋体"/>
          <w:sz w:val="32"/>
          <w:szCs w:val="32"/>
        </w:rPr>
      </w:pPr>
      <w:r>
        <w:rPr>
          <w:rFonts w:hint="eastAsia" w:ascii="仿宋" w:hAnsi="仿宋" w:eastAsia="仿宋" w:cs="宋体"/>
          <w:sz w:val="32"/>
          <w:szCs w:val="32"/>
        </w:rPr>
        <w:t xml:space="preserve"> </w:t>
      </w:r>
      <w:r>
        <w:rPr>
          <w:rFonts w:hint="eastAsia" w:ascii="仿宋" w:hAnsi="仿宋" w:eastAsia="仿宋" w:cs="宋体"/>
          <w:sz w:val="32"/>
          <w:szCs w:val="32"/>
          <w:lang w:val="en-US" w:eastAsia="zh-CN"/>
        </w:rPr>
        <w:t xml:space="preserve">    </w:t>
      </w:r>
      <w:r>
        <w:rPr>
          <w:rFonts w:hint="eastAsia" w:ascii="仿宋" w:hAnsi="仿宋" w:eastAsia="仿宋" w:cs="宋体"/>
          <w:sz w:val="32"/>
          <w:szCs w:val="32"/>
        </w:rPr>
        <w:t>201</w:t>
      </w:r>
      <w:r>
        <w:rPr>
          <w:rFonts w:hint="eastAsia" w:ascii="仿宋" w:hAnsi="仿宋" w:eastAsia="仿宋" w:cs="宋体"/>
          <w:sz w:val="32"/>
          <w:szCs w:val="32"/>
          <w:lang w:val="en-US" w:eastAsia="zh-CN"/>
        </w:rPr>
        <w:t>9</w:t>
      </w:r>
      <w:r>
        <w:rPr>
          <w:rFonts w:hint="eastAsia" w:ascii="仿宋" w:hAnsi="仿宋" w:eastAsia="仿宋" w:cs="宋体"/>
          <w:sz w:val="32"/>
          <w:szCs w:val="32"/>
        </w:rPr>
        <w:t>年，社科联要以习近平新时代中国特色社会主义思想为指导，围绕“提升社科发展质量”这一主线，坚持“服务党委政府、服务社会大众”两大方向，发挥“资政建言、理论创新、舆论引导、文化传承、社会服务”四大功能，以产出优秀的社科成果、智库载体、品牌活动和社科人才为主要任务，充分调动和凝聚全市哲学社会科学工作者力量，着力提高资政研究和社科普及水平，加强智库建设和自身建设，形成学界兴承工作合力。</w:t>
      </w:r>
    </w:p>
    <w:p>
      <w:pPr>
        <w:ind w:firstLine="640" w:firstLineChars="200"/>
        <w:jc w:val="left"/>
        <w:rPr>
          <w:rFonts w:ascii="Times New Roman" w:hAnsi="Times New Roman" w:eastAsia="方正仿宋_GBK" w:cs="Times New Roman"/>
          <w:b/>
          <w:sz w:val="32"/>
          <w:szCs w:val="32"/>
        </w:rPr>
      </w:pPr>
      <w:r>
        <w:rPr>
          <w:rFonts w:hint="eastAsia" w:ascii="Times New Roman" w:hAnsi="Times New Roman" w:eastAsia="方正仿宋_GBK" w:cs="Times New Roman"/>
          <w:b/>
          <w:sz w:val="32"/>
          <w:szCs w:val="32"/>
        </w:rPr>
        <w:t>职责分类绩效目标：</w:t>
      </w:r>
    </w:p>
    <w:p>
      <w:pPr>
        <w:spacing w:line="58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2019年我单位主要职能业务目标规划为01课题研究02社科普及03智库建设04社团管理服务05社科青年专家评选06会刊和网站建设07社科人才教育培训08对外交流工作09自身建设。具体绩效目标为：</w:t>
      </w:r>
    </w:p>
    <w:p>
      <w:pPr>
        <w:spacing w:line="580" w:lineRule="exact"/>
        <w:ind w:firstLine="643" w:firstLineChars="200"/>
        <w:rPr>
          <w:rFonts w:hint="eastAsia" w:ascii="仿宋" w:hAnsi="仿宋" w:eastAsia="仿宋" w:cs="宋体"/>
          <w:bCs/>
          <w:sz w:val="32"/>
          <w:szCs w:val="32"/>
        </w:rPr>
      </w:pPr>
      <w:r>
        <w:rPr>
          <w:rFonts w:hint="eastAsia" w:ascii="仿宋" w:hAnsi="仿宋" w:eastAsia="仿宋" w:cs="宋体"/>
          <w:b/>
          <w:sz w:val="32"/>
          <w:szCs w:val="32"/>
        </w:rPr>
        <w:t>课题研究：</w:t>
      </w:r>
      <w:r>
        <w:rPr>
          <w:rFonts w:hint="eastAsia" w:ascii="仿宋" w:hAnsi="仿宋" w:eastAsia="仿宋"/>
          <w:sz w:val="32"/>
          <w:szCs w:val="32"/>
        </w:rPr>
        <w:t>完成2018年度社会发展研究课题后期结项，启动2019年度社会发展研究课题申报立项，计划常规立项150-200项，其中贴近市委市政府中心工作的重点课题占20%。计划申报国家和省级民生调研课题10项以上；举办建国70周年理论研讨会，</w:t>
      </w:r>
      <w:r>
        <w:rPr>
          <w:rFonts w:hint="eastAsia" w:ascii="仿宋" w:hAnsi="仿宋" w:eastAsia="仿宋" w:cs="宋体"/>
          <w:bCs/>
          <w:sz w:val="32"/>
          <w:szCs w:val="32"/>
        </w:rPr>
        <w:t>围绕历史性成就和历史性变革进行交流研讨。</w:t>
      </w:r>
    </w:p>
    <w:p>
      <w:pPr>
        <w:spacing w:line="580" w:lineRule="exact"/>
        <w:ind w:firstLine="643" w:firstLineChars="200"/>
        <w:rPr>
          <w:rFonts w:hint="eastAsia" w:ascii="仿宋" w:hAnsi="仿宋" w:eastAsia="仿宋"/>
          <w:sz w:val="32"/>
          <w:szCs w:val="32"/>
        </w:rPr>
      </w:pPr>
      <w:r>
        <w:rPr>
          <w:rFonts w:hint="eastAsia" w:ascii="仿宋" w:hAnsi="仿宋" w:eastAsia="仿宋" w:cs="宋体"/>
          <w:b/>
          <w:sz w:val="32"/>
          <w:szCs w:val="32"/>
        </w:rPr>
        <w:t>社科普及：</w:t>
      </w:r>
      <w:r>
        <w:rPr>
          <w:rFonts w:hint="eastAsia" w:ascii="仿宋" w:hAnsi="仿宋" w:eastAsia="仿宋" w:cs="仿宋"/>
          <w:sz w:val="32"/>
          <w:szCs w:val="32"/>
        </w:rPr>
        <w:t>计划举办受众人数达万人以上的大型社科普及活动1次，发放社科普及系列读物1000册，宣传资料3000份；开展专题论坛讲座3次；新培育社科普及基地3个；指导基地开展活动3次；发表社科理论小文章10篇以上；参加“三下乡”活动1次。</w:t>
      </w:r>
      <w:r>
        <w:rPr>
          <w:rFonts w:hint="eastAsia" w:ascii="仿宋" w:hAnsi="仿宋" w:eastAsia="仿宋"/>
          <w:sz w:val="32"/>
          <w:szCs w:val="32"/>
        </w:rPr>
        <w:t>搞好经常性的社科普及工作。</w:t>
      </w:r>
    </w:p>
    <w:p>
      <w:pPr>
        <w:spacing w:line="580" w:lineRule="exact"/>
        <w:ind w:firstLine="630" w:firstLineChars="196"/>
        <w:rPr>
          <w:rFonts w:hint="eastAsia" w:ascii="仿宋" w:hAnsi="仿宋" w:eastAsia="仿宋"/>
          <w:sz w:val="32"/>
          <w:szCs w:val="32"/>
        </w:rPr>
      </w:pPr>
      <w:r>
        <w:rPr>
          <w:rFonts w:hint="eastAsia" w:ascii="仿宋" w:hAnsi="仿宋" w:eastAsia="仿宋"/>
          <w:b/>
          <w:sz w:val="32"/>
          <w:szCs w:val="32"/>
        </w:rPr>
        <w:t>智库建设：</w:t>
      </w:r>
      <w:r>
        <w:rPr>
          <w:rFonts w:hint="eastAsia" w:ascii="仿宋" w:hAnsi="仿宋" w:eastAsia="仿宋"/>
          <w:sz w:val="32"/>
          <w:szCs w:val="32"/>
        </w:rPr>
        <w:t>成立我市社会科学学术委员会；呈报给市委、市政府领导《社科研究成果专报》每月1期共计12期，年底编辑出版《承德智库-2019》成果文集；重新修订出版《市社科联工作手册》；编辑《承德社会科学年鉴》。</w:t>
      </w:r>
    </w:p>
    <w:p>
      <w:pPr>
        <w:spacing w:line="580" w:lineRule="exact"/>
        <w:ind w:firstLine="630" w:firstLineChars="196"/>
        <w:rPr>
          <w:rFonts w:hint="eastAsia" w:ascii="仿宋" w:hAnsi="仿宋" w:eastAsia="仿宋" w:cs="仿宋"/>
          <w:sz w:val="32"/>
          <w:szCs w:val="32"/>
        </w:rPr>
      </w:pPr>
      <w:r>
        <w:rPr>
          <w:rFonts w:hint="eastAsia" w:ascii="仿宋" w:hAnsi="仿宋" w:eastAsia="仿宋"/>
          <w:b/>
          <w:sz w:val="32"/>
          <w:szCs w:val="32"/>
        </w:rPr>
        <w:t>社团管理：</w:t>
      </w:r>
      <w:r>
        <w:rPr>
          <w:rFonts w:hint="eastAsia" w:ascii="仿宋" w:hAnsi="仿宋" w:eastAsia="仿宋"/>
          <w:sz w:val="32"/>
          <w:szCs w:val="32"/>
        </w:rPr>
        <w:t>召开年度社科联委员会（学会代表）工作会议1次；召开专业学术委员会工作会议1次；举办学会品牌活动20次以上。</w:t>
      </w:r>
      <w:r>
        <w:rPr>
          <w:rFonts w:hint="eastAsia" w:ascii="仿宋" w:hAnsi="仿宋" w:eastAsia="仿宋" w:cs="仿宋"/>
          <w:sz w:val="32"/>
          <w:szCs w:val="32"/>
        </w:rPr>
        <w:t>完成2019年社团年检与评估工作。年检合格率达到100%，评估为1A 级社团组织单位达30%以上。</w:t>
      </w:r>
    </w:p>
    <w:p>
      <w:pPr>
        <w:spacing w:line="580" w:lineRule="exact"/>
        <w:ind w:firstLine="630" w:firstLineChars="196"/>
        <w:rPr>
          <w:rFonts w:hint="eastAsia" w:ascii="仿宋" w:hAnsi="仿宋" w:eastAsia="仿宋"/>
          <w:b/>
          <w:sz w:val="32"/>
          <w:szCs w:val="32"/>
        </w:rPr>
      </w:pPr>
      <w:r>
        <w:rPr>
          <w:rFonts w:hint="eastAsia" w:ascii="仿宋" w:hAnsi="仿宋" w:eastAsia="仿宋"/>
          <w:b/>
          <w:sz w:val="32"/>
          <w:szCs w:val="32"/>
        </w:rPr>
        <w:t>青年专家评选：</w:t>
      </w:r>
      <w:r>
        <w:rPr>
          <w:rFonts w:hint="eastAsia" w:ascii="仿宋" w:hAnsi="仿宋" w:eastAsia="仿宋" w:cs="仿宋"/>
          <w:sz w:val="32"/>
          <w:szCs w:val="32"/>
        </w:rPr>
        <w:t>培育建立社科青年专家库。</w:t>
      </w:r>
      <w:r>
        <w:rPr>
          <w:rFonts w:hint="eastAsia" w:ascii="仿宋" w:hAnsi="仿宋" w:eastAsia="仿宋"/>
          <w:sz w:val="32"/>
          <w:szCs w:val="32"/>
        </w:rPr>
        <w:t>启动哲学社会科学优秀青年专家培养、评选和奖励工作；开展专家讲座活动6次。</w:t>
      </w:r>
    </w:p>
    <w:p>
      <w:pPr>
        <w:spacing w:line="580" w:lineRule="exact"/>
        <w:ind w:firstLine="630" w:firstLineChars="196"/>
        <w:rPr>
          <w:rFonts w:hint="eastAsia" w:ascii="仿宋" w:hAnsi="仿宋" w:eastAsia="仿宋"/>
          <w:b/>
          <w:sz w:val="32"/>
          <w:szCs w:val="32"/>
        </w:rPr>
      </w:pPr>
      <w:r>
        <w:rPr>
          <w:rFonts w:hint="eastAsia" w:ascii="仿宋" w:hAnsi="仿宋" w:eastAsia="仿宋"/>
          <w:b/>
          <w:sz w:val="32"/>
          <w:szCs w:val="32"/>
        </w:rPr>
        <w:t>会刊和网站建设：</w:t>
      </w:r>
      <w:r>
        <w:rPr>
          <w:rFonts w:hint="eastAsia" w:ascii="仿宋" w:hAnsi="仿宋" w:eastAsia="仿宋" w:cs="仿宋"/>
          <w:sz w:val="32"/>
          <w:szCs w:val="32"/>
        </w:rPr>
        <w:t>常规化完成出版印发季刊《承德社会科学》1-4期和《承德社会科学》合订本；以购买服务的方式定期维护</w:t>
      </w:r>
      <w:r>
        <w:rPr>
          <w:rFonts w:hint="eastAsia" w:ascii="仿宋" w:hAnsi="仿宋" w:eastAsia="仿宋" w:cs="宋体"/>
          <w:sz w:val="32"/>
          <w:szCs w:val="32"/>
        </w:rPr>
        <w:t>承德市社会科学界联合会网站。</w:t>
      </w:r>
    </w:p>
    <w:p>
      <w:pPr>
        <w:spacing w:line="580" w:lineRule="exact"/>
        <w:ind w:firstLine="630" w:firstLineChars="196"/>
        <w:rPr>
          <w:rFonts w:hint="eastAsia" w:ascii="仿宋" w:hAnsi="仿宋" w:eastAsia="仿宋"/>
          <w:b/>
          <w:sz w:val="32"/>
          <w:szCs w:val="32"/>
        </w:rPr>
      </w:pPr>
      <w:r>
        <w:rPr>
          <w:rFonts w:hint="eastAsia" w:ascii="仿宋" w:hAnsi="仿宋" w:eastAsia="仿宋"/>
          <w:b/>
          <w:sz w:val="32"/>
          <w:szCs w:val="32"/>
        </w:rPr>
        <w:t>社科人才教育培训：</w:t>
      </w:r>
      <w:r>
        <w:rPr>
          <w:rFonts w:hint="eastAsia" w:ascii="仿宋" w:hAnsi="仿宋" w:eastAsia="仿宋" w:cs="宋体"/>
          <w:sz w:val="32"/>
          <w:szCs w:val="32"/>
        </w:rPr>
        <w:t>建立全市社科类人才库。对社科理论骨干和学会骨干进行学习培训，</w:t>
      </w:r>
      <w:r>
        <w:rPr>
          <w:rFonts w:hint="eastAsia" w:ascii="仿宋" w:hAnsi="仿宋" w:eastAsia="仿宋" w:cs="仿宋"/>
          <w:sz w:val="32"/>
          <w:szCs w:val="32"/>
        </w:rPr>
        <w:t>重视哲学社会科学类青年人才成长，</w:t>
      </w:r>
      <w:r>
        <w:rPr>
          <w:rFonts w:hint="eastAsia" w:ascii="仿宋" w:hAnsi="仿宋" w:eastAsia="仿宋" w:cs="宋体"/>
          <w:color w:val="222222"/>
          <w:kern w:val="0"/>
          <w:sz w:val="32"/>
          <w:szCs w:val="32"/>
        </w:rPr>
        <w:t>培养一支青年</w:t>
      </w:r>
      <w:r>
        <w:rPr>
          <w:rFonts w:hint="eastAsia" w:ascii="仿宋" w:hAnsi="仿宋" w:eastAsia="仿宋"/>
          <w:sz w:val="32"/>
          <w:szCs w:val="32"/>
        </w:rPr>
        <w:t>学术团队。争取一年轮训一次。</w:t>
      </w:r>
    </w:p>
    <w:p>
      <w:pPr>
        <w:spacing w:line="580" w:lineRule="exact"/>
        <w:ind w:firstLine="630" w:firstLineChars="196"/>
        <w:rPr>
          <w:rFonts w:hint="eastAsia" w:ascii="仿宋" w:hAnsi="仿宋" w:eastAsia="仿宋" w:cs="宋体"/>
          <w:sz w:val="32"/>
          <w:szCs w:val="32"/>
        </w:rPr>
      </w:pPr>
      <w:r>
        <w:rPr>
          <w:rFonts w:hint="eastAsia" w:ascii="仿宋" w:hAnsi="仿宋" w:eastAsia="仿宋"/>
          <w:b/>
          <w:sz w:val="32"/>
          <w:szCs w:val="32"/>
        </w:rPr>
        <w:t>对外交流工作：</w:t>
      </w:r>
      <w:r>
        <w:rPr>
          <w:rFonts w:hint="eastAsia" w:ascii="仿宋" w:hAnsi="仿宋" w:eastAsia="仿宋" w:cs="宋体"/>
          <w:sz w:val="32"/>
          <w:szCs w:val="32"/>
        </w:rPr>
        <w:t>组织优秀社科工作者出去交流学习一次。</w:t>
      </w:r>
    </w:p>
    <w:p>
      <w:pPr>
        <w:ind w:firstLine="560"/>
        <w:rPr>
          <w:rFonts w:ascii="仿宋_GB2312" w:hAnsi="仿宋_GB2312" w:eastAsia="仿宋_GB2312" w:cs="仿宋_GB2312"/>
          <w:sz w:val="32"/>
          <w:szCs w:val="32"/>
        </w:rPr>
      </w:pPr>
      <w:r>
        <w:rPr>
          <w:rFonts w:hint="eastAsia" w:ascii="仿宋" w:hAnsi="仿宋" w:eastAsia="仿宋"/>
          <w:b/>
          <w:sz w:val="32"/>
          <w:szCs w:val="32"/>
        </w:rPr>
        <w:t>自身建设：</w:t>
      </w:r>
      <w:r>
        <w:rPr>
          <w:rFonts w:hint="eastAsia" w:ascii="仿宋" w:hAnsi="仿宋" w:eastAsia="仿宋" w:cs="宋体"/>
          <w:sz w:val="32"/>
          <w:szCs w:val="32"/>
        </w:rPr>
        <w:t>召开社科联全委会1次；每年推进县级社科联成立工作，争取每年1个。</w:t>
      </w:r>
    </w:p>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Times New Roman" w:hAnsi="Times New Roman" w:eastAsia="方正仿宋_GBK" w:cs="Times New Roman"/>
          <w:b/>
          <w:sz w:val="32"/>
          <w:szCs w:val="32"/>
        </w:rPr>
        <w:t xml:space="preserve"> 实现本年度规划目标的保障措施</w:t>
      </w:r>
    </w:p>
    <w:p>
      <w:pPr>
        <w:spacing w:line="580" w:lineRule="exact"/>
        <w:ind w:firstLine="630" w:firstLineChars="196"/>
        <w:rPr>
          <w:rFonts w:ascii="仿宋" w:hAnsi="仿宋" w:eastAsia="仿宋"/>
          <w:sz w:val="32"/>
          <w:szCs w:val="32"/>
        </w:rPr>
      </w:pPr>
      <w:r>
        <w:rPr>
          <w:rFonts w:hint="eastAsia" w:ascii="仿宋" w:hAnsi="仿宋" w:eastAsia="仿宋" w:cs="宋体"/>
          <w:b/>
          <w:sz w:val="32"/>
          <w:szCs w:val="32"/>
        </w:rPr>
        <w:t>课题研究：</w:t>
      </w:r>
      <w:r>
        <w:rPr>
          <w:rFonts w:hint="eastAsia" w:ascii="仿宋" w:hAnsi="仿宋" w:eastAsia="仿宋"/>
          <w:sz w:val="32"/>
          <w:szCs w:val="32"/>
        </w:rPr>
        <w:t>采取专家巡回辅导和申报组织培训相结合方式，加强和改进学术研究动态管理，探索建立管理者、专家与研究机构、团队直接沟通机制，增强课题研究的针对性和有效性，切实提升</w:t>
      </w:r>
      <w:r>
        <w:rPr>
          <w:rFonts w:hint="eastAsia" w:ascii="仿宋" w:hAnsi="仿宋" w:eastAsia="仿宋" w:cs="宋体"/>
          <w:sz w:val="32"/>
          <w:szCs w:val="32"/>
        </w:rPr>
        <w:t>课题</w:t>
      </w:r>
      <w:r>
        <w:rPr>
          <w:rFonts w:hint="eastAsia" w:ascii="仿宋" w:hAnsi="仿宋" w:eastAsia="仿宋"/>
          <w:sz w:val="32"/>
          <w:szCs w:val="32"/>
        </w:rPr>
        <w:t>研究项目质量和</w:t>
      </w:r>
      <w:r>
        <w:rPr>
          <w:rFonts w:hint="eastAsia" w:ascii="仿宋" w:hAnsi="仿宋" w:eastAsia="仿宋" w:cs="宋体"/>
          <w:sz w:val="32"/>
          <w:szCs w:val="32"/>
        </w:rPr>
        <w:t>学术服务管理水平</w:t>
      </w:r>
      <w:r>
        <w:rPr>
          <w:rFonts w:hint="eastAsia" w:ascii="仿宋" w:hAnsi="仿宋" w:eastAsia="仿宋"/>
          <w:sz w:val="32"/>
          <w:szCs w:val="32"/>
        </w:rPr>
        <w:t>。</w:t>
      </w:r>
    </w:p>
    <w:p>
      <w:pPr>
        <w:spacing w:line="580" w:lineRule="exact"/>
        <w:ind w:firstLine="630" w:firstLineChars="196"/>
        <w:rPr>
          <w:rFonts w:ascii="仿宋" w:hAnsi="仿宋" w:eastAsia="仿宋"/>
          <w:sz w:val="32"/>
          <w:szCs w:val="32"/>
        </w:rPr>
      </w:pPr>
      <w:r>
        <w:rPr>
          <w:rFonts w:hint="eastAsia" w:ascii="仿宋" w:hAnsi="仿宋" w:eastAsia="仿宋"/>
          <w:b/>
          <w:sz w:val="32"/>
          <w:szCs w:val="32"/>
        </w:rPr>
        <w:t>社科普及：</w:t>
      </w:r>
      <w:r>
        <w:rPr>
          <w:rFonts w:hint="eastAsia" w:ascii="仿宋" w:hAnsi="仿宋" w:eastAsia="仿宋" w:cs="宋体"/>
          <w:sz w:val="32"/>
          <w:szCs w:val="32"/>
        </w:rPr>
        <w:t>创新社科普及方式，</w:t>
      </w:r>
      <w:r>
        <w:rPr>
          <w:rFonts w:hint="eastAsia" w:ascii="仿宋" w:hAnsi="仿宋" w:eastAsia="仿宋"/>
          <w:sz w:val="32"/>
          <w:szCs w:val="32"/>
        </w:rPr>
        <w:t>体现</w:t>
      </w:r>
      <w:r>
        <w:rPr>
          <w:rFonts w:hint="eastAsia" w:ascii="仿宋" w:hAnsi="仿宋" w:eastAsia="仿宋" w:cs="仿宋"/>
          <w:sz w:val="32"/>
          <w:szCs w:val="32"/>
        </w:rPr>
        <w:t>重心下移、科普惠民、服务基层；主动合作纸媒网媒，坚守社科普及阵地；社科论坛讲座以宣传习近平新时代中国特色社会主义新思想和十九大精神为主线，全面引导社科工作者把握正确的政治方向和学术导向。</w:t>
      </w:r>
      <w:r>
        <w:rPr>
          <w:rFonts w:hint="eastAsia" w:ascii="仿宋" w:hAnsi="仿宋" w:eastAsia="仿宋"/>
          <w:sz w:val="32"/>
          <w:szCs w:val="32"/>
        </w:rPr>
        <w:t>积极整合社会科普资源，充分发挥学会专业特色优势，通过进机关、进企业、进学校、进社区、进农村、进部队、进广场、进网络等“八进”形式，不断扩大社科知识普及的覆盖面和贡献率。</w:t>
      </w:r>
    </w:p>
    <w:p>
      <w:pPr>
        <w:pStyle w:val="13"/>
        <w:spacing w:line="580" w:lineRule="exact"/>
        <w:ind w:firstLine="643"/>
        <w:rPr>
          <w:rFonts w:hint="eastAsia" w:ascii="仿宋" w:hAnsi="仿宋" w:eastAsia="仿宋"/>
          <w:sz w:val="32"/>
          <w:szCs w:val="32"/>
        </w:rPr>
      </w:pPr>
      <w:r>
        <w:rPr>
          <w:rFonts w:hint="eastAsia" w:ascii="仿宋" w:hAnsi="仿宋" w:eastAsia="仿宋"/>
          <w:b/>
          <w:sz w:val="32"/>
          <w:szCs w:val="32"/>
        </w:rPr>
        <w:t>智库建设：</w:t>
      </w:r>
      <w:r>
        <w:rPr>
          <w:rFonts w:hint="eastAsia" w:ascii="仿宋" w:hAnsi="仿宋" w:eastAsia="仿宋"/>
          <w:sz w:val="32"/>
          <w:szCs w:val="32"/>
        </w:rPr>
        <w:t>加强地方新型智库建设，把握社科研究“跟进、关注，贴近、融合，创新、有用”基本要求，围绕承德经济社会发展重大需求，组织专家学者定期举行社科成果研究座谈会，共同探讨和准确把握我市经济社会发展中重点、难点、热点问题。</w:t>
      </w:r>
    </w:p>
    <w:p>
      <w:pPr>
        <w:spacing w:line="580" w:lineRule="exact"/>
        <w:ind w:firstLine="630" w:firstLineChars="196"/>
        <w:rPr>
          <w:rFonts w:ascii="仿宋" w:hAnsi="仿宋" w:eastAsia="仿宋" w:cs="仿宋"/>
          <w:sz w:val="32"/>
          <w:szCs w:val="32"/>
        </w:rPr>
      </w:pPr>
      <w:r>
        <w:rPr>
          <w:rFonts w:hint="eastAsia" w:ascii="仿宋" w:hAnsi="仿宋" w:eastAsia="仿宋"/>
          <w:b/>
          <w:sz w:val="32"/>
          <w:szCs w:val="32"/>
        </w:rPr>
        <w:t>社团管理：</w:t>
      </w:r>
      <w:r>
        <w:rPr>
          <w:rFonts w:hint="eastAsia" w:ascii="仿宋" w:hAnsi="仿宋" w:eastAsia="仿宋" w:cs="仿宋"/>
          <w:sz w:val="32"/>
          <w:szCs w:val="32"/>
        </w:rPr>
        <w:t>切实履行业务主管部门的职责。</w:t>
      </w:r>
      <w:r>
        <w:rPr>
          <w:rFonts w:hint="eastAsia" w:ascii="仿宋" w:hAnsi="仿宋" w:eastAsia="仿宋"/>
          <w:color w:val="000000"/>
          <w:sz w:val="32"/>
          <w:szCs w:val="32"/>
        </w:rPr>
        <w:t>每个社团建立了规范的档案，对主管的学会协会和研究会进行实时监督和规范管理，</w:t>
      </w:r>
      <w:r>
        <w:rPr>
          <w:rFonts w:hint="eastAsia" w:ascii="仿宋" w:hAnsi="仿宋" w:eastAsia="仿宋" w:cs="仿宋"/>
          <w:sz w:val="32"/>
          <w:szCs w:val="32"/>
        </w:rPr>
        <w:t>从学会活动、财务、科研、党建等方面加强对各学会、研究会的管理。</w:t>
      </w:r>
    </w:p>
    <w:p>
      <w:pPr>
        <w:pStyle w:val="13"/>
        <w:spacing w:line="580" w:lineRule="exact"/>
        <w:ind w:firstLine="643"/>
        <w:rPr>
          <w:rFonts w:hint="eastAsia" w:ascii="仿宋" w:hAnsi="仿宋" w:eastAsia="仿宋"/>
          <w:sz w:val="32"/>
          <w:szCs w:val="32"/>
        </w:rPr>
      </w:pPr>
      <w:r>
        <w:rPr>
          <w:rFonts w:hint="eastAsia" w:ascii="仿宋" w:hAnsi="仿宋" w:eastAsia="仿宋" w:cs="仿宋"/>
          <w:b/>
          <w:sz w:val="32"/>
          <w:szCs w:val="32"/>
        </w:rPr>
        <w:t>青年专家评选：</w:t>
      </w:r>
      <w:r>
        <w:rPr>
          <w:rFonts w:hint="eastAsia" w:ascii="仿宋" w:hAnsi="仿宋" w:eastAsia="仿宋" w:cs="宋体"/>
          <w:sz w:val="32"/>
          <w:szCs w:val="32"/>
        </w:rPr>
        <w:t>根据《</w:t>
      </w:r>
      <w:r>
        <w:rPr>
          <w:rFonts w:hint="eastAsia" w:ascii="仿宋" w:hAnsi="仿宋" w:eastAsia="仿宋"/>
          <w:sz w:val="32"/>
          <w:szCs w:val="32"/>
        </w:rPr>
        <w:t>承德市社会科学奖励办法》，探索建立质量显示度较高的哲学社会科学研究成果评价标准和指标体系，完善社会科学青年专家评价机制。制定《承德市哲学社会科学优秀青年专家评选办法》，启动哲学社会科学优秀青年专家培养、评选和奖励工作。</w:t>
      </w:r>
    </w:p>
    <w:p>
      <w:pPr>
        <w:spacing w:line="580" w:lineRule="exact"/>
        <w:ind w:firstLine="630" w:firstLineChars="196"/>
        <w:rPr>
          <w:rFonts w:ascii="仿宋" w:hAnsi="仿宋" w:eastAsia="仿宋" w:cs="仿宋"/>
          <w:sz w:val="32"/>
          <w:szCs w:val="32"/>
        </w:rPr>
      </w:pPr>
      <w:r>
        <w:rPr>
          <w:rFonts w:hint="eastAsia" w:ascii="仿宋" w:hAnsi="仿宋" w:eastAsia="仿宋" w:cs="仿宋"/>
          <w:b/>
          <w:sz w:val="32"/>
          <w:szCs w:val="32"/>
        </w:rPr>
        <w:t>会刊和网站建设</w:t>
      </w:r>
      <w:r>
        <w:rPr>
          <w:rFonts w:hint="eastAsia" w:ascii="仿宋" w:hAnsi="仿宋" w:eastAsia="仿宋" w:cs="仿宋"/>
          <w:sz w:val="32"/>
          <w:szCs w:val="32"/>
        </w:rPr>
        <w:t>：</w:t>
      </w:r>
      <w:r>
        <w:rPr>
          <w:rFonts w:hint="eastAsia" w:ascii="仿宋" w:hAnsi="仿宋" w:eastAsia="仿宋" w:cs="宋体"/>
          <w:sz w:val="32"/>
          <w:szCs w:val="32"/>
        </w:rPr>
        <w:t>继续办好社科刊物和网站</w:t>
      </w:r>
      <w:r>
        <w:rPr>
          <w:rFonts w:hint="eastAsia" w:ascii="仿宋" w:hAnsi="仿宋" w:eastAsia="仿宋"/>
          <w:sz w:val="32"/>
          <w:szCs w:val="32"/>
        </w:rPr>
        <w:t>，通过互联网技术更好地服务社会、服务大众、服务社科学界广大工作者的需求。</w:t>
      </w:r>
      <w:r>
        <w:rPr>
          <w:rFonts w:hint="eastAsia" w:ascii="仿宋" w:hAnsi="仿宋" w:eastAsia="仿宋" w:cs="仿宋"/>
          <w:sz w:val="32"/>
          <w:szCs w:val="32"/>
        </w:rPr>
        <w:t>常规化完成出版印发季刊《承德社会科学》1-4期和《承德社会科学》合订本，定期与全国大中城市社科联进行交流互通，</w:t>
      </w:r>
      <w:r>
        <w:rPr>
          <w:rFonts w:hint="eastAsia" w:ascii="仿宋" w:hAnsi="仿宋" w:eastAsia="仿宋" w:cs="宋体"/>
          <w:sz w:val="32"/>
          <w:szCs w:val="32"/>
        </w:rPr>
        <w:t>不断扩大社会影响力和知名度</w:t>
      </w:r>
      <w:r>
        <w:rPr>
          <w:rFonts w:hint="eastAsia" w:ascii="仿宋" w:hAnsi="仿宋" w:eastAsia="仿宋" w:cs="仿宋"/>
          <w:sz w:val="32"/>
          <w:szCs w:val="32"/>
        </w:rPr>
        <w:t>；以购买服务的方式督促第三方对</w:t>
      </w:r>
      <w:r>
        <w:rPr>
          <w:rFonts w:hint="eastAsia" w:ascii="仿宋" w:hAnsi="仿宋" w:eastAsia="仿宋" w:cs="宋体"/>
          <w:sz w:val="32"/>
          <w:szCs w:val="32"/>
        </w:rPr>
        <w:t>承德市社会科学界联合会网站进行随时更新，与时俱进。</w:t>
      </w:r>
      <w:r>
        <w:rPr>
          <w:rFonts w:hint="eastAsia" w:ascii="仿宋" w:hAnsi="仿宋" w:eastAsia="仿宋" w:cs="仿宋"/>
          <w:sz w:val="32"/>
          <w:szCs w:val="32"/>
        </w:rPr>
        <w:t xml:space="preserve"> </w:t>
      </w:r>
    </w:p>
    <w:p>
      <w:pPr>
        <w:spacing w:line="580" w:lineRule="exact"/>
        <w:ind w:firstLine="630" w:firstLineChars="196"/>
        <w:rPr>
          <w:rFonts w:ascii="仿宋" w:hAnsi="仿宋" w:eastAsia="仿宋" w:cs="仿宋"/>
          <w:sz w:val="32"/>
          <w:szCs w:val="32"/>
        </w:rPr>
      </w:pPr>
      <w:r>
        <w:rPr>
          <w:rFonts w:hint="eastAsia" w:ascii="仿宋" w:hAnsi="仿宋" w:eastAsia="仿宋" w:cs="仿宋"/>
          <w:b/>
          <w:sz w:val="32"/>
          <w:szCs w:val="32"/>
        </w:rPr>
        <w:t>社科人才教育培训：</w:t>
      </w:r>
      <w:r>
        <w:rPr>
          <w:rFonts w:hint="eastAsia" w:ascii="仿宋" w:hAnsi="仿宋" w:eastAsia="仿宋" w:cs="宋体"/>
          <w:color w:val="070707"/>
          <w:kern w:val="0"/>
          <w:sz w:val="32"/>
          <w:szCs w:val="32"/>
        </w:rPr>
        <w:t>建立健全和充实更新社科普及专家库和讲题库，加强社科类人才队伍建设。</w:t>
      </w:r>
      <w:r>
        <w:rPr>
          <w:rFonts w:hint="eastAsia" w:ascii="仿宋" w:hAnsi="仿宋" w:eastAsia="仿宋"/>
          <w:sz w:val="32"/>
          <w:szCs w:val="32"/>
        </w:rPr>
        <w:t>实施哲学社会科学人才工程，建立有力有效的人才激励和奖励机制，</w:t>
      </w:r>
      <w:r>
        <w:rPr>
          <w:rFonts w:hint="eastAsia" w:ascii="仿宋" w:hAnsi="仿宋" w:eastAsia="仿宋" w:cs="仿宋"/>
          <w:sz w:val="32"/>
          <w:szCs w:val="32"/>
        </w:rPr>
        <w:t>重视哲学社会科学类青年人才成长，</w:t>
      </w:r>
      <w:r>
        <w:rPr>
          <w:rFonts w:hint="eastAsia" w:ascii="仿宋" w:hAnsi="仿宋" w:eastAsia="仿宋" w:cs="宋体"/>
          <w:color w:val="070707"/>
          <w:kern w:val="0"/>
          <w:sz w:val="32"/>
          <w:szCs w:val="32"/>
        </w:rPr>
        <w:t>建立健全驻市高校和研究机构合作机制，</w:t>
      </w:r>
      <w:r>
        <w:rPr>
          <w:rFonts w:hint="eastAsia" w:ascii="仿宋" w:hAnsi="仿宋" w:eastAsia="仿宋" w:cs="仿宋"/>
          <w:sz w:val="32"/>
          <w:szCs w:val="32"/>
        </w:rPr>
        <w:t>鼓励青年研究人员提升学历，</w:t>
      </w:r>
      <w:r>
        <w:rPr>
          <w:rFonts w:hint="eastAsia" w:ascii="仿宋" w:hAnsi="仿宋" w:eastAsia="仿宋" w:cs="宋体"/>
          <w:color w:val="222222"/>
          <w:kern w:val="0"/>
          <w:sz w:val="32"/>
          <w:szCs w:val="32"/>
        </w:rPr>
        <w:t>培养一支青年</w:t>
      </w:r>
      <w:r>
        <w:rPr>
          <w:rFonts w:hint="eastAsia" w:ascii="仿宋" w:hAnsi="仿宋" w:eastAsia="仿宋"/>
          <w:sz w:val="32"/>
          <w:szCs w:val="32"/>
        </w:rPr>
        <w:t>学术团队。</w:t>
      </w:r>
      <w:r>
        <w:rPr>
          <w:rFonts w:hint="eastAsia" w:ascii="仿宋" w:hAnsi="仿宋" w:eastAsia="仿宋" w:cs="仿宋"/>
          <w:sz w:val="32"/>
          <w:szCs w:val="32"/>
        </w:rPr>
        <w:t>举办各类培训讲座提升社科人才的理论素养和资政水平。</w:t>
      </w:r>
    </w:p>
    <w:p>
      <w:pPr>
        <w:spacing w:line="580" w:lineRule="exact"/>
        <w:ind w:firstLine="630" w:firstLineChars="196"/>
        <w:rPr>
          <w:rFonts w:ascii="仿宋" w:hAnsi="仿宋" w:eastAsia="仿宋" w:cs="仿宋"/>
          <w:b/>
          <w:sz w:val="32"/>
          <w:szCs w:val="32"/>
        </w:rPr>
      </w:pPr>
      <w:r>
        <w:rPr>
          <w:rFonts w:hint="eastAsia" w:ascii="仿宋" w:hAnsi="仿宋" w:eastAsia="仿宋" w:cs="仿宋"/>
          <w:b/>
          <w:sz w:val="32"/>
          <w:szCs w:val="32"/>
        </w:rPr>
        <w:t>对外交流工作：</w:t>
      </w:r>
      <w:r>
        <w:rPr>
          <w:rFonts w:hint="eastAsia" w:ascii="仿宋" w:hAnsi="仿宋" w:eastAsia="仿宋"/>
          <w:sz w:val="32"/>
          <w:szCs w:val="32"/>
        </w:rPr>
        <w:t>完善社会科学学术和人才交流机制。建立健全哲学社会科学对外交流平台，</w:t>
      </w:r>
      <w:r>
        <w:rPr>
          <w:rFonts w:hint="eastAsia" w:ascii="仿宋" w:hAnsi="仿宋" w:eastAsia="仿宋" w:cs="宋体"/>
          <w:sz w:val="32"/>
          <w:szCs w:val="32"/>
        </w:rPr>
        <w:t>将走出去与引进来相结合，加强理论骨干和学会骨干学习培训，</w:t>
      </w:r>
      <w:r>
        <w:rPr>
          <w:rFonts w:hint="eastAsia" w:ascii="仿宋" w:hAnsi="仿宋" w:eastAsia="仿宋"/>
          <w:sz w:val="32"/>
          <w:szCs w:val="32"/>
        </w:rPr>
        <w:t>扩大对外学术成果和重点人才的交流，支持哲学社会科学专家开展多种形式的学术交流活动以</w:t>
      </w:r>
      <w:r>
        <w:rPr>
          <w:rFonts w:hint="eastAsia" w:ascii="仿宋" w:hAnsi="仿宋" w:eastAsia="仿宋" w:cs="宋体"/>
          <w:sz w:val="32"/>
          <w:szCs w:val="32"/>
        </w:rPr>
        <w:t>开阔视野，增长见识。实现承德社科“走出去”，国内外交流，团体之间、学科之间大联合、大协作。</w:t>
      </w:r>
    </w:p>
    <w:p>
      <w:pPr>
        <w:ind w:firstLine="636" w:firstLineChars="198"/>
        <w:jc w:val="left"/>
        <w:outlineLvl w:val="0"/>
        <w:rPr>
          <w:rFonts w:hint="eastAsia" w:ascii="仿宋" w:hAnsi="仿宋" w:eastAsia="仿宋" w:cs="宋体"/>
          <w:sz w:val="32"/>
          <w:szCs w:val="32"/>
        </w:rPr>
      </w:pPr>
      <w:r>
        <w:rPr>
          <w:rFonts w:hint="eastAsia" w:ascii="仿宋" w:hAnsi="仿宋" w:eastAsia="仿宋" w:cs="仿宋"/>
          <w:b/>
          <w:sz w:val="32"/>
          <w:szCs w:val="32"/>
        </w:rPr>
        <w:t>自身建设：</w:t>
      </w:r>
      <w:r>
        <w:rPr>
          <w:rFonts w:hint="eastAsia" w:ascii="仿宋" w:hAnsi="仿宋" w:eastAsia="仿宋" w:cs="仿宋"/>
          <w:sz w:val="32"/>
          <w:szCs w:val="32"/>
        </w:rPr>
        <w:t>组织召开社科联全委会议，总结2019年部署2020年工作，并科学编制长远规划。</w:t>
      </w:r>
      <w:r>
        <w:rPr>
          <w:rFonts w:hint="eastAsia" w:ascii="仿宋" w:hAnsi="仿宋" w:eastAsia="仿宋"/>
          <w:sz w:val="32"/>
          <w:szCs w:val="32"/>
        </w:rPr>
        <w:t>继续</w:t>
      </w:r>
      <w:r>
        <w:rPr>
          <w:rFonts w:hint="eastAsia" w:ascii="仿宋" w:hAnsi="仿宋" w:eastAsia="仿宋" w:cs="宋体"/>
          <w:sz w:val="32"/>
          <w:szCs w:val="32"/>
        </w:rPr>
        <w:t>推进县级社科联组织建设。按着市委社科联改革方案要求和省社科联关于加强县级社科联工作意见精神，积极推进县级社科联组织建设，进一步健全优化基层组织 ，形成“大社科”工作格局。</w:t>
      </w:r>
    </w:p>
    <w:p>
      <w:pPr>
        <w:ind w:firstLine="636" w:firstLineChars="198"/>
        <w:jc w:val="left"/>
        <w:outlineLvl w:val="0"/>
        <w:rPr>
          <w:rFonts w:ascii="黑体" w:hAnsi="黑体" w:eastAsia="黑体"/>
          <w:b/>
          <w:sz w:val="32"/>
          <w:szCs w:val="24"/>
        </w:rPr>
      </w:pPr>
      <w:r>
        <w:rPr>
          <w:rFonts w:hint="eastAsia" w:ascii="黑体" w:hAnsi="黑体" w:eastAsia="黑体"/>
          <w:b/>
          <w:sz w:val="32"/>
          <w:szCs w:val="32"/>
        </w:rPr>
        <w:t>部门职责及工作活动绩效目标指标：</w:t>
      </w:r>
    </w:p>
    <w:bookmarkEnd w:id="0"/>
    <w:p>
      <w:pPr>
        <w:jc w:val="center"/>
        <w:outlineLvl w:val="0"/>
        <w:rPr>
          <w:rFonts w:ascii="方正小标宋_GBK" w:eastAsia="方正小标宋_GBK"/>
          <w:color w:val="FFFFFF"/>
          <w:sz w:val="32"/>
        </w:rPr>
      </w:pPr>
      <w:bookmarkStart w:id="1" w:name="_Toc536804147"/>
      <w:r>
        <w:rPr>
          <w:rFonts w:hint="eastAsia" w:ascii="方正小标宋_GBK" w:eastAsia="方正小标宋_GBK"/>
          <w:sz w:val="32"/>
        </w:rPr>
        <w:t>部门职责-工作活动绩效目标</w:t>
      </w:r>
      <w:r>
        <w:rPr>
          <w:rStyle w:val="10"/>
          <w:rFonts w:ascii="方正小标宋_GBK" w:eastAsia="方正小标宋_GBK"/>
          <w:color w:val="FFFFFF"/>
          <w:sz w:val="32"/>
        </w:rPr>
        <w:footnoteReference w:id="0" w:customMarkFollows="1"/>
        <w:sym w:font="Symbol" w:char="F020"/>
      </w:r>
      <w:bookmarkEnd w:id="1"/>
    </w:p>
    <w:tbl>
      <w:tblPr>
        <w:tblStyle w:val="7"/>
        <w:tblW w:w="1393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小标宋_GBK" w:eastAsia="方正小标宋_GBK"/>
                <w:sz w:val="24"/>
              </w:rPr>
            </w:pPr>
            <w:r>
              <w:rPr>
                <w:rFonts w:ascii="方正小标宋_GBK" w:eastAsia="方正小标宋_GBK"/>
                <w:sz w:val="24"/>
              </w:rPr>
              <w:t>191</w:t>
            </w:r>
            <w:r>
              <w:rPr>
                <w:rFonts w:hint="eastAsia" w:ascii="方正小标宋_GBK" w:eastAsia="方正小标宋_GBK"/>
                <w:sz w:val="24"/>
              </w:rPr>
              <w:t>承德市社会科学界联合会</w:t>
            </w:r>
          </w:p>
        </w:tc>
        <w:tc>
          <w:tcPr>
            <w:tcW w:w="2948" w:type="dxa"/>
            <w:gridSpan w:val="4"/>
            <w:tcBorders>
              <w:top w:val="single" w:color="FFFFFF" w:sz="6" w:space="0"/>
              <w:left w:val="single" w:color="FFFFFF" w:sz="6" w:space="0"/>
              <w:right w:val="single" w:color="FFFFFF" w:sz="6" w:space="0"/>
            </w:tcBorders>
            <w:shd w:val="clear" w:color="auto" w:fill="auto"/>
            <w:noWrap w:val="0"/>
            <w:vAlign w:val="center"/>
          </w:tcPr>
          <w:p>
            <w:pPr>
              <w:spacing w:line="300" w:lineRule="exact"/>
              <w:jc w:val="right"/>
              <w:rPr>
                <w:rFonts w:ascii="方正书宋_GBK" w:eastAsia="方正书宋_GBK"/>
                <w:sz w:val="24"/>
              </w:rPr>
            </w:pPr>
            <w:r>
              <w:rPr>
                <w:rFonts w:hint="eastAsia" w:ascii="方正书宋_GBK" w:eastAsia="方正书宋_GBK"/>
                <w:sz w:val="24"/>
              </w:rP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tblHeader/>
          <w:jc w:val="center"/>
        </w:trPr>
        <w:tc>
          <w:tcPr>
            <w:tcW w:w="2341"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方正书宋_GBK" w:eastAsia="方正书宋_GBK"/>
                <w:b/>
              </w:rPr>
            </w:pPr>
            <w:r>
              <w:rPr>
                <w:rFonts w:hint="eastAsia" w:ascii="方正书宋_GBK" w:eastAsia="方正书宋_GBK"/>
                <w:b/>
              </w:rPr>
              <w:t>职责活动</w:t>
            </w:r>
          </w:p>
        </w:tc>
        <w:tc>
          <w:tcPr>
            <w:tcW w:w="12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方正书宋_GBK" w:eastAsia="方正书宋_GBK"/>
                <w:b/>
              </w:rPr>
            </w:pPr>
            <w:r>
              <w:rPr>
                <w:rFonts w:hint="eastAsia" w:ascii="方正书宋_GBK" w:eastAsia="方正书宋_GBK"/>
                <w:b/>
              </w:rPr>
              <w:t>年度预算数</w:t>
            </w: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方正书宋_GBK" w:eastAsia="方正书宋_GBK"/>
                <w:b/>
              </w:rPr>
            </w:pPr>
            <w:r>
              <w:rPr>
                <w:rFonts w:hint="eastAsia" w:ascii="方正书宋_GBK" w:eastAsia="方正书宋_GBK"/>
                <w:b/>
              </w:rPr>
              <w:t>内容描述</w:t>
            </w: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方正书宋_GBK" w:eastAsia="方正书宋_GBK"/>
                <w:b/>
              </w:rPr>
            </w:pPr>
            <w:r>
              <w:rPr>
                <w:rFonts w:hint="eastAsia" w:ascii="方正书宋_GBK" w:eastAsia="方正书宋_GBK"/>
                <w:b/>
              </w:rPr>
              <w:t>绩效目标</w:t>
            </w:r>
          </w:p>
        </w:tc>
        <w:tc>
          <w:tcPr>
            <w:tcW w:w="1417"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方正书宋_GBK" w:eastAsia="方正书宋_GBK"/>
                <w:b/>
              </w:rPr>
            </w:pPr>
            <w:r>
              <w:rPr>
                <w:rFonts w:hint="eastAsia" w:ascii="方正书宋_GBK" w:eastAsia="方正书宋_GBK"/>
                <w:b/>
              </w:rPr>
              <w:t>绩效指标</w:t>
            </w:r>
          </w:p>
        </w:tc>
        <w:tc>
          <w:tcPr>
            <w:tcW w:w="2948" w:type="dxa"/>
            <w:gridSpan w:val="4"/>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评价标准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tblHeader/>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outlineLvl w:val="0"/>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outlineLvl w:val="0"/>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outlineLvl w:val="0"/>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outlineLvl w:val="0"/>
            </w:pPr>
          </w:p>
        </w:tc>
        <w:tc>
          <w:tcPr>
            <w:tcW w:w="1417"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outlineLvl w:val="0"/>
            </w:pPr>
          </w:p>
        </w:tc>
        <w:tc>
          <w:tcPr>
            <w:tcW w:w="737"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优</w:t>
            </w:r>
          </w:p>
        </w:tc>
        <w:tc>
          <w:tcPr>
            <w:tcW w:w="737"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良</w:t>
            </w:r>
          </w:p>
        </w:tc>
        <w:tc>
          <w:tcPr>
            <w:tcW w:w="737"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中</w:t>
            </w:r>
          </w:p>
        </w:tc>
        <w:tc>
          <w:tcPr>
            <w:tcW w:w="737" w:type="dxa"/>
            <w:shd w:val="clear" w:color="auto" w:fill="auto"/>
            <w:noWrap w:val="0"/>
            <w:vAlign w:val="center"/>
          </w:tcPr>
          <w:p>
            <w:pPr>
              <w:spacing w:line="300" w:lineRule="exact"/>
              <w:jc w:val="center"/>
              <w:rPr>
                <w:rFonts w:ascii="方正书宋_GBK" w:eastAsia="方正书宋_GBK"/>
                <w:b/>
              </w:rPr>
            </w:pPr>
            <w:r>
              <w:rPr>
                <w:rFonts w:hint="eastAsia" w:ascii="方正书宋_GBK" w:eastAsia="方正书宋_GBK"/>
                <w:b/>
              </w:rPr>
              <w:t>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b/>
              </w:rPr>
            </w:pPr>
            <w:r>
              <w:rPr>
                <w:rFonts w:hint="eastAsia" w:ascii="方正书宋_GBK" w:eastAsia="方正书宋_GBK"/>
                <w:b/>
              </w:rPr>
              <w:t>一、社科团体、社科机构管理服务</w:t>
            </w:r>
          </w:p>
        </w:tc>
        <w:tc>
          <w:tcPr>
            <w:tcW w:w="12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r>
              <w:rPr>
                <w:rFonts w:hint="eastAsia" w:ascii="方正书宋_GBK" w:eastAsia="方正书宋_GBK"/>
              </w:rPr>
              <w:t>管理、指导全市社科联所属团体会员和高校、机关、企业及民办的各社科研究机构依法依规开展社会科学活动；倡导学术活动规范，开展国内外学术交流，推动社科事业繁荣发展。</w:t>
            </w:r>
          </w:p>
        </w:tc>
        <w:tc>
          <w:tcPr>
            <w:tcW w:w="29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r>
              <w:rPr>
                <w:rFonts w:hint="eastAsia" w:ascii="方正书宋_GBK" w:eastAsia="方正书宋_GBK"/>
              </w:rPr>
              <w:t>推进学会、协会、研究会管理科学规范，维护团体会员和社科工作者合法权益；建立健全社科学术研究和培养社科人才机制；进行社团组织考核评估。</w:t>
            </w: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、召开年度社科联委员会（学会代表）工作会议；召开专业学术委员会工作会议；学术</w:t>
            </w:r>
            <w:r>
              <w:rPr>
                <w:rFonts w:hint="cs" w:ascii="方正书宋_GBK" w:eastAsia="方正书宋_GBK"/>
                <w:b/>
              </w:rPr>
              <w:t>“</w:t>
            </w:r>
            <w:r>
              <w:rPr>
                <w:rFonts w:hint="eastAsia" w:ascii="方正书宋_GBK" w:eastAsia="方正书宋_GBK"/>
                <w:b/>
              </w:rPr>
              <w:t>沙龙</w:t>
            </w:r>
            <w:r>
              <w:rPr>
                <w:rFonts w:hint="cs" w:ascii="方正书宋_GBK" w:eastAsia="方正书宋_GBK"/>
                <w:b/>
              </w:rPr>
              <w:t>”</w:t>
            </w:r>
            <w:r>
              <w:rPr>
                <w:rFonts w:hint="eastAsia" w:ascii="方正书宋_GBK" w:eastAsia="方正书宋_GBK"/>
                <w:b/>
              </w:rPr>
              <w:t>主题研讨活动。</w:t>
            </w:r>
          </w:p>
        </w:tc>
        <w:tc>
          <w:tcPr>
            <w:tcW w:w="12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总结、部署工作；表彰先进学会和优秀社科工作者；谋划重大学术活动，规划课题研究项目；指导学会开展活动</w:t>
            </w: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计划工作；明确任务；解决问题。</w:t>
            </w: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r>
              <w:rPr>
                <w:rFonts w:hint="cs" w:ascii="方正书宋_GBK" w:eastAsia="方正书宋_GBK"/>
              </w:rPr>
              <w:t>“</w:t>
            </w:r>
            <w:r>
              <w:rPr>
                <w:rFonts w:hint="eastAsia" w:ascii="方正书宋_GBK" w:eastAsia="方正书宋_GBK"/>
              </w:rPr>
              <w:t>沙龙</w:t>
            </w:r>
            <w:r>
              <w:rPr>
                <w:rFonts w:hint="cs" w:ascii="方正书宋_GBK" w:eastAsia="方正书宋_GBK"/>
              </w:rPr>
              <w:t>”</w:t>
            </w:r>
            <w:r>
              <w:rPr>
                <w:rFonts w:hint="eastAsia" w:ascii="方正书宋_GBK" w:eastAsia="方正书宋_GBK"/>
              </w:rPr>
              <w:t>活动举办次数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4</w:t>
            </w:r>
            <w:r>
              <w:rPr>
                <w:rFonts w:hint="eastAsia" w:ascii="方正书宋_GBK" w:eastAsia="方正书宋_GBK"/>
              </w:rPr>
              <w:t>次</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3</w:t>
            </w:r>
            <w:r>
              <w:rPr>
                <w:rFonts w:hint="eastAsia" w:ascii="方正书宋_GBK" w:eastAsia="方正书宋_GBK"/>
              </w:rPr>
              <w:t>次</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2</w:t>
            </w:r>
            <w:r>
              <w:rPr>
                <w:rFonts w:hint="eastAsia" w:ascii="方正书宋_GBK" w:eastAsia="方正书宋_GBK"/>
              </w:rPr>
              <w:t>次</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2</w:t>
            </w:r>
            <w:r>
              <w:rPr>
                <w:rFonts w:hint="eastAsia" w:ascii="方正书宋_GBK" w:eastAsia="方正书宋_GBK"/>
              </w:rPr>
              <w:t>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cs" w:ascii="方正书宋_GBK" w:eastAsia="方正书宋_GBK"/>
              </w:rPr>
            </w:pPr>
            <w:r>
              <w:rPr>
                <w:rFonts w:hint="eastAsia" w:ascii="方正书宋_GBK" w:eastAsia="方正书宋_GBK"/>
              </w:rPr>
              <w:t>学会品牌活动举办场次</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20</w:t>
            </w:r>
            <w:r>
              <w:rPr>
                <w:rFonts w:hint="eastAsia" w:ascii="方正书宋_GBK" w:eastAsia="方正书宋_GBK"/>
              </w:rPr>
              <w:t>次</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15</w:t>
            </w:r>
            <w:r>
              <w:rPr>
                <w:rFonts w:hint="eastAsia" w:ascii="方正书宋_GBK" w:eastAsia="方正书宋_GBK"/>
              </w:rPr>
              <w:t>次</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10</w:t>
            </w:r>
            <w:r>
              <w:rPr>
                <w:rFonts w:hint="eastAsia" w:ascii="方正书宋_GBK" w:eastAsia="方正书宋_GBK"/>
              </w:rPr>
              <w:t>次</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10</w:t>
            </w:r>
            <w:r>
              <w:rPr>
                <w:rFonts w:hint="eastAsia" w:ascii="方正书宋_GBK" w:eastAsia="方正书宋_GBK"/>
              </w:rPr>
              <w:t>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工作年会次数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w:t>
            </w:r>
            <w:r>
              <w:rPr>
                <w:rFonts w:hint="eastAsia" w:ascii="方正书宋_GBK" w:eastAsia="方正书宋_GBK"/>
              </w:rPr>
              <w:t>次</w:t>
            </w: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专业会议次数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2</w:t>
            </w:r>
            <w:r>
              <w:rPr>
                <w:rFonts w:hint="eastAsia" w:ascii="方正书宋_GBK" w:eastAsia="方正书宋_GBK"/>
              </w:rPr>
              <w:t>次</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w:t>
            </w:r>
            <w:r>
              <w:rPr>
                <w:rFonts w:hint="eastAsia" w:ascii="方正书宋_GBK" w:eastAsia="方正书宋_GBK"/>
              </w:rPr>
              <w:t>次</w:t>
            </w: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、年度社团组织登记、年检和评估定级工作。</w:t>
            </w:r>
          </w:p>
        </w:tc>
        <w:tc>
          <w:tcPr>
            <w:tcW w:w="12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组织材料，审核把关</w:t>
            </w: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年度社团组织登记、年检和评估定级工作全部通过评估</w:t>
            </w: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ascii="方正书宋_GBK" w:eastAsia="方正书宋_GBK"/>
              </w:rPr>
              <w:t>1A</w:t>
            </w:r>
            <w:r>
              <w:rPr>
                <w:rFonts w:hint="eastAsia" w:ascii="方正书宋_GBK" w:eastAsia="方正书宋_GBK"/>
              </w:rPr>
              <w:t>级达标率</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5</w:t>
            </w:r>
            <w:r>
              <w:rPr>
                <w:rFonts w:hint="eastAsia" w:ascii="方正书宋_GBK" w:eastAsia="方正书宋_GBK"/>
              </w:rPr>
              <w:t>个单位</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4</w:t>
            </w:r>
            <w:r>
              <w:rPr>
                <w:rFonts w:hint="eastAsia" w:ascii="方正书宋_GBK" w:eastAsia="方正书宋_GBK"/>
              </w:rPr>
              <w:t>个单位</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3</w:t>
            </w:r>
            <w:r>
              <w:rPr>
                <w:rFonts w:hint="eastAsia" w:ascii="方正书宋_GBK" w:eastAsia="方正书宋_GBK"/>
              </w:rPr>
              <w:t>个单位</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3</w:t>
            </w:r>
            <w:r>
              <w:rPr>
                <w:rFonts w:hint="eastAsia" w:ascii="方正书宋_GBK" w:eastAsia="方正书宋_GBK"/>
              </w:rPr>
              <w:t>个单位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r>
              <w:rPr>
                <w:rFonts w:hint="eastAsia" w:ascii="方正书宋_GBK" w:eastAsia="方正书宋_GBK"/>
              </w:rPr>
              <w:t>合格率</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95%</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90%</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85%</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85%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、会刊《承德社会科学》、承德社会科学网站、全国历史文化名城社科联学术年会</w:t>
            </w:r>
          </w:p>
        </w:tc>
        <w:tc>
          <w:tcPr>
            <w:tcW w:w="12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会刊《承德社会科学》、承德社会科学网站、全国历史文化名城社科联会刊工作年会</w:t>
            </w: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搭建学术交流平台，活跃社科研究氛围</w:t>
            </w: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r>
              <w:rPr>
                <w:rFonts w:hint="eastAsia" w:ascii="方正书宋_GBK" w:eastAsia="方正书宋_GBK"/>
                <w:sz w:val="18"/>
                <w:szCs w:val="18"/>
              </w:rPr>
              <w:t>承办全国大中城市社科联会刊工作年会次数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w:t>
            </w: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r>
              <w:rPr>
                <w:rFonts w:hint="eastAsia" w:ascii="方正书宋_GBK" w:eastAsia="方正书宋_GBK"/>
                <w:sz w:val="18"/>
                <w:szCs w:val="18"/>
              </w:rPr>
              <w:t>专家讲座等活动场次</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6</w:t>
            </w:r>
            <w:r>
              <w:rPr>
                <w:rFonts w:hint="eastAsia" w:ascii="方正书宋_GBK" w:eastAsia="方正书宋_GBK"/>
              </w:rPr>
              <w:t>次</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5</w:t>
            </w:r>
            <w:r>
              <w:rPr>
                <w:rFonts w:hint="eastAsia" w:ascii="方正书宋_GBK" w:eastAsia="方正书宋_GBK"/>
              </w:rPr>
              <w:t>次</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4</w:t>
            </w:r>
            <w:r>
              <w:rPr>
                <w:rFonts w:hint="eastAsia" w:ascii="方正书宋_GBK" w:eastAsia="方正书宋_GBK"/>
              </w:rPr>
              <w:t>次</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4</w:t>
            </w:r>
            <w:r>
              <w:rPr>
                <w:rFonts w:hint="eastAsia" w:ascii="方正书宋_GBK" w:eastAsia="方正书宋_GBK"/>
              </w:rPr>
              <w:t>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r>
              <w:rPr>
                <w:rFonts w:hint="eastAsia" w:ascii="方正书宋_GBK" w:eastAsia="方正书宋_GBK"/>
                <w:sz w:val="18"/>
                <w:szCs w:val="18"/>
              </w:rPr>
              <w:t>会刊按期刊规定发行期数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4</w:t>
            </w:r>
            <w:r>
              <w:rPr>
                <w:rFonts w:hint="eastAsia" w:ascii="方正书宋_GBK" w:eastAsia="方正书宋_GBK"/>
              </w:rPr>
              <w:t>期</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3</w:t>
            </w:r>
            <w:r>
              <w:rPr>
                <w:rFonts w:hint="eastAsia" w:ascii="方正书宋_GBK" w:eastAsia="方正书宋_GBK"/>
              </w:rPr>
              <w:t>期</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2</w:t>
            </w:r>
            <w:r>
              <w:rPr>
                <w:rFonts w:hint="eastAsia" w:ascii="方正书宋_GBK" w:eastAsia="方正书宋_GBK"/>
              </w:rPr>
              <w:t>期</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2</w:t>
            </w:r>
            <w:r>
              <w:rPr>
                <w:rFonts w:hint="eastAsia" w:ascii="方正书宋_GBK" w:eastAsia="方正书宋_GBK"/>
              </w:rPr>
              <w:t>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r>
              <w:rPr>
                <w:rFonts w:hint="eastAsia" w:ascii="方正书宋_GBK" w:eastAsia="方正书宋_GBK"/>
                <w:b/>
              </w:rPr>
              <w:t>二、全市社会科学发展规划制定，课题发布；社会科学发展研究课题和民生调研课题组织管理</w:t>
            </w:r>
          </w:p>
        </w:tc>
        <w:tc>
          <w:tcPr>
            <w:tcW w:w="12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制定社科规划，发布课题指南；市级课题规划发布、评审立项、评定结项、顶级资助；课题督导管理、巡回辅导；策划对接省级课题开展研究；促进成果转化</w:t>
            </w:r>
          </w:p>
        </w:tc>
        <w:tc>
          <w:tcPr>
            <w:tcW w:w="29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建立课题立项、评审、奖励、推介、转化等制度，完善社会科学研究课题导向机制，围绕承德发展现实问题开展课题立项研究。</w:t>
            </w: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、承德市社会科学发展研究课题</w:t>
            </w:r>
          </w:p>
        </w:tc>
        <w:tc>
          <w:tcPr>
            <w:tcW w:w="12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课题方向编制、规划立项结项、委托重点、过程跟踪服务等；发布《年度社会科学发展研究课题指南》</w:t>
            </w: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推出科研精品，鉴定成果结项、予以资助</w:t>
            </w: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年终期结项评审数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180</w:t>
            </w:r>
            <w:r>
              <w:rPr>
                <w:rFonts w:hint="eastAsia" w:ascii="方正书宋_GBK" w:eastAsia="方正书宋_GBK"/>
              </w:rPr>
              <w:t>项</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160</w:t>
            </w:r>
            <w:r>
              <w:rPr>
                <w:rFonts w:hint="eastAsia" w:ascii="方正书宋_GBK" w:eastAsia="方正书宋_GBK"/>
              </w:rPr>
              <w:t>项</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120</w:t>
            </w:r>
            <w:r>
              <w:rPr>
                <w:rFonts w:hint="eastAsia" w:ascii="方正书宋_GBK" w:eastAsia="方正书宋_GBK"/>
              </w:rPr>
              <w:t>项</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120</w:t>
            </w:r>
            <w:r>
              <w:rPr>
                <w:rFonts w:hint="eastAsia" w:ascii="方正书宋_GBK" w:eastAsia="方正书宋_GBK"/>
              </w:rPr>
              <w:t>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评审立项数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180</w:t>
            </w:r>
            <w:r>
              <w:rPr>
                <w:rFonts w:hint="eastAsia" w:ascii="方正书宋_GBK" w:eastAsia="方正书宋_GBK"/>
              </w:rPr>
              <w:t>项</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160</w:t>
            </w:r>
            <w:r>
              <w:rPr>
                <w:rFonts w:hint="eastAsia" w:ascii="方正书宋_GBK" w:eastAsia="方正书宋_GBK"/>
              </w:rPr>
              <w:t>项</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120</w:t>
            </w:r>
            <w:r>
              <w:rPr>
                <w:rFonts w:hint="eastAsia" w:ascii="方正书宋_GBK" w:eastAsia="方正书宋_GBK"/>
              </w:rPr>
              <w:t>项</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120</w:t>
            </w:r>
            <w:r>
              <w:rPr>
                <w:rFonts w:hint="eastAsia" w:ascii="方正书宋_GBK" w:eastAsia="方正书宋_GBK"/>
              </w:rPr>
              <w:t>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结项率</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70%</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60%</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50%</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50%</w:t>
            </w:r>
            <w:r>
              <w:rPr>
                <w:rFonts w:hint="eastAsia" w:ascii="方正书宋_GBK" w:eastAsia="方正书宋_GBK"/>
              </w:rPr>
              <w:t>以下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年中期结项评审数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100</w:t>
            </w:r>
            <w:r>
              <w:rPr>
                <w:rFonts w:hint="eastAsia" w:ascii="方正书宋_GBK" w:eastAsia="方正书宋_GBK"/>
              </w:rPr>
              <w:t>项</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项</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项</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、申报省发展研究课题和民生调研课题</w:t>
            </w:r>
          </w:p>
        </w:tc>
        <w:tc>
          <w:tcPr>
            <w:tcW w:w="12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按照省《指南》策划题目，组成课题组，联合申报</w:t>
            </w: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全年争取国家、省级立项课题</w:t>
            </w:r>
            <w:r>
              <w:rPr>
                <w:rFonts w:ascii="方正书宋_GBK" w:eastAsia="方正书宋_GBK"/>
              </w:rPr>
              <w:t>20</w:t>
            </w:r>
            <w:r>
              <w:rPr>
                <w:rFonts w:hint="eastAsia" w:ascii="方正书宋_GBK" w:eastAsia="方正书宋_GBK"/>
              </w:rPr>
              <w:t>项以上</w:t>
            </w: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省结项数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10</w:t>
            </w:r>
            <w:r>
              <w:rPr>
                <w:rFonts w:hint="eastAsia" w:ascii="方正书宋_GBK" w:eastAsia="方正书宋_GBK"/>
              </w:rPr>
              <w:t>项</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8</w:t>
            </w:r>
            <w:r>
              <w:rPr>
                <w:rFonts w:hint="eastAsia" w:ascii="方正书宋_GBK" w:eastAsia="方正书宋_GBK"/>
              </w:rPr>
              <w:t>项</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6</w:t>
            </w:r>
            <w:r>
              <w:rPr>
                <w:rFonts w:hint="eastAsia" w:ascii="方正书宋_GBK" w:eastAsia="方正书宋_GBK"/>
              </w:rPr>
              <w:t>项</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6</w:t>
            </w:r>
            <w:r>
              <w:rPr>
                <w:rFonts w:hint="eastAsia" w:ascii="方正书宋_GBK" w:eastAsia="方正书宋_GBK"/>
              </w:rPr>
              <w:t>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省立项数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20</w:t>
            </w:r>
            <w:r>
              <w:rPr>
                <w:rFonts w:hint="eastAsia" w:ascii="方正书宋_GBK" w:eastAsia="方正书宋_GBK"/>
              </w:rPr>
              <w:t>项</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16</w:t>
            </w:r>
            <w:r>
              <w:rPr>
                <w:rFonts w:hint="eastAsia" w:ascii="方正书宋_GBK" w:eastAsia="方正书宋_GBK"/>
              </w:rPr>
              <w:t>项</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13</w:t>
            </w:r>
            <w:r>
              <w:rPr>
                <w:rFonts w:hint="eastAsia" w:ascii="方正书宋_GBK" w:eastAsia="方正书宋_GBK"/>
              </w:rPr>
              <w:t>项</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13</w:t>
            </w:r>
            <w:r>
              <w:rPr>
                <w:rFonts w:hint="eastAsia" w:ascii="方正书宋_GBK" w:eastAsia="方正书宋_GBK"/>
              </w:rPr>
              <w:t>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、专题</w:t>
            </w:r>
            <w:r>
              <w:rPr>
                <w:rFonts w:hint="cs" w:ascii="方正书宋_GBK" w:eastAsia="方正书宋_GBK"/>
                <w:b/>
              </w:rPr>
              <w:t>“</w:t>
            </w:r>
            <w:r>
              <w:rPr>
                <w:rFonts w:hint="eastAsia" w:ascii="方正书宋_GBK" w:eastAsia="方正书宋_GBK"/>
                <w:b/>
              </w:rPr>
              <w:t>进言献策</w:t>
            </w:r>
            <w:r>
              <w:rPr>
                <w:rFonts w:hint="cs" w:ascii="方正书宋_GBK" w:eastAsia="方正书宋_GBK"/>
                <w:b/>
              </w:rPr>
              <w:t>”</w:t>
            </w:r>
            <w:r>
              <w:rPr>
                <w:rFonts w:hint="eastAsia" w:ascii="方正书宋_GBK" w:eastAsia="方正书宋_GBK"/>
                <w:b/>
              </w:rPr>
              <w:t>、征文、研讨、知识竞赛等系列活动</w:t>
            </w:r>
          </w:p>
        </w:tc>
        <w:tc>
          <w:tcPr>
            <w:tcW w:w="12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紧扣市委、市政府中心工作和重点任务，联系承德实际确定活动主题</w:t>
            </w: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提供决策参考，得到领导肯定性批示，被相关部门采纳</w:t>
            </w: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重大课题招标项数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8</w:t>
            </w:r>
            <w:r>
              <w:rPr>
                <w:rFonts w:hint="eastAsia" w:ascii="方正书宋_GBK" w:eastAsia="方正书宋_GBK"/>
              </w:rPr>
              <w:t>项</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6</w:t>
            </w:r>
            <w:r>
              <w:rPr>
                <w:rFonts w:hint="eastAsia" w:ascii="方正书宋_GBK" w:eastAsia="方正书宋_GBK"/>
              </w:rPr>
              <w:t>项</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5</w:t>
            </w:r>
            <w:r>
              <w:rPr>
                <w:rFonts w:hint="eastAsia" w:ascii="方正书宋_GBK" w:eastAsia="方正书宋_GBK"/>
              </w:rPr>
              <w:t>项</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5</w:t>
            </w:r>
            <w:r>
              <w:rPr>
                <w:rFonts w:hint="eastAsia" w:ascii="方正书宋_GBK" w:eastAsia="方正书宋_GBK"/>
              </w:rPr>
              <w:t>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专题活动举办次数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3</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2</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r>
              <w:rPr>
                <w:rFonts w:hint="eastAsia" w:ascii="方正书宋_GBK" w:eastAsia="方正书宋_GBK"/>
                <w:b/>
              </w:rPr>
              <w:t>三、优秀社科成果评奖和优秀青年专家评选活动</w:t>
            </w:r>
          </w:p>
        </w:tc>
        <w:tc>
          <w:tcPr>
            <w:tcW w:w="12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根据市政府〔</w:t>
            </w:r>
            <w:r>
              <w:rPr>
                <w:rFonts w:ascii="方正书宋_GBK" w:eastAsia="方正书宋_GBK"/>
              </w:rPr>
              <w:t>2006</w:t>
            </w:r>
            <w:r>
              <w:rPr>
                <w:rFonts w:hint="eastAsia" w:ascii="方正书宋_GBK" w:eastAsia="方正书宋_GBK"/>
              </w:rPr>
              <w:t>〕</w:t>
            </w:r>
            <w:r>
              <w:rPr>
                <w:rFonts w:ascii="方正书宋_GBK" w:eastAsia="方正书宋_GBK"/>
              </w:rPr>
              <w:t>1</w:t>
            </w:r>
            <w:r>
              <w:rPr>
                <w:rFonts w:hint="eastAsia" w:ascii="方正书宋_GBK" w:eastAsia="方正书宋_GBK"/>
              </w:rPr>
              <w:t>号令授权，开展全市性社会科学优秀科研成果评奖工作；组织评选社会科学优秀青年专家。</w:t>
            </w:r>
          </w:p>
        </w:tc>
        <w:tc>
          <w:tcPr>
            <w:tcW w:w="29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为市委、市政府和有关决策部门、实际工作部门提供决策参考；发现、培养和激励我市社会科学优秀人才脱颖而出。</w:t>
            </w: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、承德市社会科学优秀成果评奖和社会科学特别奖</w:t>
            </w:r>
          </w:p>
        </w:tc>
        <w:tc>
          <w:tcPr>
            <w:tcW w:w="12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组织各类社科成果的资审、评审、终审、公示、奖励等项工作</w:t>
            </w: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提高评选的权威性，强化对决策服务深度，实现评奖的公开性和公证性</w:t>
            </w: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r>
              <w:rPr>
                <w:rFonts w:hint="eastAsia" w:ascii="方正书宋_GBK" w:eastAsia="方正书宋_GBK"/>
                <w:sz w:val="18"/>
                <w:szCs w:val="18"/>
              </w:rPr>
              <w:t>每三年一届特别奖奖励项数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10</w:t>
            </w:r>
            <w:r>
              <w:rPr>
                <w:rFonts w:hint="eastAsia" w:ascii="方正书宋_GBK" w:eastAsia="方正书宋_GBK"/>
              </w:rPr>
              <w:t>项</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6</w:t>
            </w:r>
            <w:r>
              <w:rPr>
                <w:rFonts w:hint="eastAsia" w:ascii="方正书宋_GBK" w:eastAsia="方正书宋_GBK"/>
              </w:rPr>
              <w:t>项</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4</w:t>
            </w:r>
            <w:r>
              <w:rPr>
                <w:rFonts w:hint="eastAsia" w:ascii="方正书宋_GBK" w:eastAsia="方正书宋_GBK"/>
              </w:rPr>
              <w:t>项</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4</w:t>
            </w:r>
            <w:r>
              <w:rPr>
                <w:rFonts w:hint="eastAsia" w:ascii="方正书宋_GBK" w:eastAsia="方正书宋_GBK"/>
              </w:rPr>
              <w:t>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r>
              <w:rPr>
                <w:rFonts w:hint="eastAsia" w:ascii="方正书宋_GBK" w:eastAsia="方正书宋_GBK"/>
                <w:sz w:val="18"/>
                <w:szCs w:val="18"/>
              </w:rPr>
              <w:t>每两年一届成果奖奖励项数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100</w:t>
            </w:r>
            <w:r>
              <w:rPr>
                <w:rFonts w:hint="eastAsia" w:ascii="方正书宋_GBK" w:eastAsia="方正书宋_GBK"/>
              </w:rPr>
              <w:t>项</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项</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项</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、评选社会科学优秀青年专家；社科理论人才宣讲服务队伍</w:t>
            </w:r>
            <w:r>
              <w:rPr>
                <w:rFonts w:hint="cs" w:ascii="方正书宋_GBK" w:eastAsia="方正书宋_GBK"/>
                <w:b/>
              </w:rPr>
              <w:t>“</w:t>
            </w:r>
            <w:r>
              <w:rPr>
                <w:rFonts w:hint="eastAsia" w:ascii="方正书宋_GBK" w:eastAsia="方正书宋_GBK"/>
                <w:b/>
              </w:rPr>
              <w:t>百人工程</w:t>
            </w:r>
            <w:r>
              <w:rPr>
                <w:rFonts w:hint="cs" w:ascii="方正书宋_GBK" w:eastAsia="方正书宋_GBK"/>
                <w:b/>
              </w:rPr>
              <w:t>”</w:t>
            </w:r>
            <w:r>
              <w:rPr>
                <w:rFonts w:hint="eastAsia" w:ascii="方正书宋_GBK" w:eastAsia="方正书宋_GBK"/>
                <w:b/>
              </w:rPr>
              <w:t>建设</w:t>
            </w:r>
          </w:p>
        </w:tc>
        <w:tc>
          <w:tcPr>
            <w:tcW w:w="12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制定人才培养规划，严格参评资格、评选条件和组织程序</w:t>
            </w:r>
          </w:p>
        </w:tc>
        <w:tc>
          <w:tcPr>
            <w:tcW w:w="29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激励发现人才，优化人才结构</w:t>
            </w: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r>
              <w:rPr>
                <w:rFonts w:hint="eastAsia" w:ascii="方正书宋_GBK" w:eastAsia="方正书宋_GBK"/>
                <w:sz w:val="18"/>
                <w:szCs w:val="18"/>
              </w:rPr>
              <w:t>每两年一届专家评选人数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10</w:t>
            </w:r>
            <w:r>
              <w:rPr>
                <w:rFonts w:hint="eastAsia" w:ascii="方正书宋_GBK" w:eastAsia="方正书宋_GBK"/>
              </w:rPr>
              <w:t>人</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9</w:t>
            </w:r>
            <w:r>
              <w:rPr>
                <w:rFonts w:hint="eastAsia" w:ascii="方正书宋_GBK" w:eastAsia="方正书宋_GBK"/>
              </w:rPr>
              <w:t>人</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8</w:t>
            </w:r>
            <w:r>
              <w:rPr>
                <w:rFonts w:hint="eastAsia" w:ascii="方正书宋_GBK" w:eastAsia="方正书宋_GBK"/>
              </w:rPr>
              <w:t>人</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8</w:t>
            </w:r>
            <w:r>
              <w:rPr>
                <w:rFonts w:hint="eastAsia" w:ascii="方正书宋_GBK" w:eastAsia="方正书宋_GBK"/>
              </w:rPr>
              <w:t>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、优秀社科研究成果文集（系列）</w:t>
            </w:r>
          </w:p>
        </w:tc>
        <w:tc>
          <w:tcPr>
            <w:tcW w:w="12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编辑出版优秀社科研究成果文集以及其他有关学术研究资料</w:t>
            </w: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发挥社科理论界</w:t>
            </w:r>
            <w:r>
              <w:rPr>
                <w:rFonts w:hint="cs" w:ascii="方正书宋_GBK" w:eastAsia="方正书宋_GBK"/>
              </w:rPr>
              <w:t>“</w:t>
            </w:r>
            <w:r>
              <w:rPr>
                <w:rFonts w:hint="eastAsia" w:ascii="方正书宋_GBK" w:eastAsia="方正书宋_GBK"/>
              </w:rPr>
              <w:t>思想库</w:t>
            </w:r>
            <w:r>
              <w:rPr>
                <w:rFonts w:hint="cs" w:ascii="方正书宋_GBK" w:eastAsia="方正书宋_GBK"/>
              </w:rPr>
              <w:t>”</w:t>
            </w:r>
            <w:r>
              <w:rPr>
                <w:rFonts w:hint="eastAsia" w:ascii="方正书宋_GBK" w:eastAsia="方正书宋_GBK"/>
              </w:rPr>
              <w:t>、</w:t>
            </w:r>
            <w:r>
              <w:rPr>
                <w:rFonts w:hint="cs" w:ascii="方正书宋_GBK" w:eastAsia="方正书宋_GBK"/>
              </w:rPr>
              <w:t>“</w:t>
            </w:r>
            <w:r>
              <w:rPr>
                <w:rFonts w:hint="eastAsia" w:ascii="方正书宋_GBK" w:eastAsia="方正书宋_GBK"/>
              </w:rPr>
              <w:t>智囊团</w:t>
            </w:r>
            <w:r>
              <w:rPr>
                <w:rFonts w:hint="cs" w:ascii="方正书宋_GBK" w:eastAsia="方正书宋_GBK"/>
              </w:rPr>
              <w:t>”</w:t>
            </w:r>
            <w:r>
              <w:rPr>
                <w:rFonts w:hint="eastAsia" w:ascii="方正书宋_GBK" w:eastAsia="方正书宋_GBK"/>
              </w:rPr>
              <w:t>作用</w:t>
            </w: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r>
              <w:rPr>
                <w:rFonts w:hint="eastAsia" w:ascii="方正书宋_GBK" w:eastAsia="方正书宋_GBK"/>
                <w:sz w:val="18"/>
                <w:szCs w:val="18"/>
              </w:rPr>
              <w:t>成果呈阅件期数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20</w:t>
            </w:r>
            <w:r>
              <w:rPr>
                <w:rFonts w:hint="eastAsia" w:ascii="方正书宋_GBK" w:eastAsia="方正书宋_GBK"/>
              </w:rPr>
              <w:t>期</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15</w:t>
            </w:r>
            <w:r>
              <w:rPr>
                <w:rFonts w:hint="eastAsia" w:ascii="方正书宋_GBK" w:eastAsia="方正书宋_GBK"/>
              </w:rPr>
              <w:t>期</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10</w:t>
            </w:r>
            <w:r>
              <w:rPr>
                <w:rFonts w:hint="eastAsia" w:ascii="方正书宋_GBK" w:eastAsia="方正书宋_GBK"/>
              </w:rPr>
              <w:t>期</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10</w:t>
            </w:r>
            <w:r>
              <w:rPr>
                <w:rFonts w:hint="eastAsia" w:ascii="方正书宋_GBK" w:eastAsia="方正书宋_GBK"/>
              </w:rPr>
              <w:t>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r>
              <w:rPr>
                <w:rFonts w:hint="eastAsia" w:ascii="方正书宋_GBK" w:eastAsia="方正书宋_GBK"/>
                <w:sz w:val="18"/>
                <w:szCs w:val="18"/>
              </w:rPr>
              <w:t>每两年出版文集完成率</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r>
              <w:rPr>
                <w:rFonts w:hint="eastAsia" w:ascii="方正书宋_GBK" w:eastAsia="方正书宋_GBK"/>
                <w:b/>
              </w:rPr>
              <w:t>四、社会科学知识普及工作</w:t>
            </w:r>
          </w:p>
        </w:tc>
        <w:tc>
          <w:tcPr>
            <w:tcW w:w="12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r>
              <w:rPr>
                <w:rFonts w:ascii="方正书宋_GBK" w:eastAsia="方正书宋_GBK"/>
              </w:rPr>
              <w:t>15.00</w:t>
            </w:r>
          </w:p>
        </w:tc>
        <w:tc>
          <w:tcPr>
            <w:tcW w:w="29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按照河北省人民政府令《河北省社会科学普及规定》和市委办、政府办《承德市社会科学普及基地管理办法》开展工作</w:t>
            </w:r>
          </w:p>
        </w:tc>
        <w:tc>
          <w:tcPr>
            <w:tcW w:w="29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形成全市社科普及工作网络构建和社科普及体系。</w:t>
            </w: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、社科普及周系列活动</w:t>
            </w:r>
          </w:p>
        </w:tc>
        <w:tc>
          <w:tcPr>
            <w:tcW w:w="12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r>
              <w:rPr>
                <w:rFonts w:ascii="方正书宋_GBK" w:eastAsia="方正书宋_GBK"/>
              </w:rPr>
              <w:t>15.00</w:t>
            </w: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通过</w:t>
            </w:r>
            <w:r>
              <w:rPr>
                <w:rFonts w:hint="cs" w:ascii="方正书宋_GBK" w:eastAsia="方正书宋_GBK"/>
              </w:rPr>
              <w:t>“</w:t>
            </w:r>
            <w:r>
              <w:rPr>
                <w:rFonts w:hint="eastAsia" w:ascii="方正书宋_GBK" w:eastAsia="方正书宋_GBK"/>
              </w:rPr>
              <w:t>品牌</w:t>
            </w:r>
            <w:r>
              <w:rPr>
                <w:rFonts w:hint="cs" w:ascii="方正书宋_GBK" w:eastAsia="方正书宋_GBK"/>
              </w:rPr>
              <w:t>”</w:t>
            </w:r>
            <w:r>
              <w:rPr>
                <w:rFonts w:hint="eastAsia" w:ascii="方正书宋_GBK" w:eastAsia="方正书宋_GBK"/>
              </w:rPr>
              <w:t>效应活动，宣传普及社科知识，开展咨询服务</w:t>
            </w: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不断提升公民人文社科素养</w:t>
            </w: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r>
              <w:rPr>
                <w:rFonts w:hint="eastAsia" w:ascii="方正书宋_GBK" w:eastAsia="方正书宋_GBK"/>
                <w:sz w:val="18"/>
                <w:szCs w:val="18"/>
              </w:rPr>
              <w:t>受众人数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w:t>
            </w:r>
            <w:r>
              <w:rPr>
                <w:rFonts w:hint="eastAsia" w:ascii="方正书宋_GBK" w:eastAsia="方正书宋_GBK"/>
              </w:rPr>
              <w:t>万人</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0.8</w:t>
            </w:r>
            <w:r>
              <w:rPr>
                <w:rFonts w:hint="eastAsia" w:ascii="方正书宋_GBK" w:eastAsia="方正书宋_GBK"/>
              </w:rPr>
              <w:t>万人</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0.6</w:t>
            </w:r>
            <w:r>
              <w:rPr>
                <w:rFonts w:hint="eastAsia" w:ascii="方正书宋_GBK" w:eastAsia="方正书宋_GBK"/>
              </w:rPr>
              <w:t>万人</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0.6</w:t>
            </w:r>
            <w:r>
              <w:rPr>
                <w:rFonts w:hint="eastAsia" w:ascii="方正书宋_GBK" w:eastAsia="方正书宋_GBK"/>
              </w:rPr>
              <w:t>万人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r>
              <w:rPr>
                <w:rFonts w:hint="eastAsia" w:ascii="方正书宋_GBK" w:eastAsia="方正书宋_GBK"/>
                <w:sz w:val="18"/>
                <w:szCs w:val="18"/>
              </w:rPr>
              <w:t>组织各分场主题活动次数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3</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2</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、社科普及基地建设</w:t>
            </w:r>
          </w:p>
        </w:tc>
        <w:tc>
          <w:tcPr>
            <w:tcW w:w="12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在全市创建不同区域、不同类型、不同级别的社会科学普及基地项目</w:t>
            </w: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发挥社科普及基地</w:t>
            </w:r>
            <w:r>
              <w:rPr>
                <w:rFonts w:hint="cs" w:ascii="方正书宋_GBK" w:eastAsia="方正书宋_GBK"/>
              </w:rPr>
              <w:t>“</w:t>
            </w:r>
            <w:r>
              <w:rPr>
                <w:rFonts w:hint="eastAsia" w:ascii="方正书宋_GBK" w:eastAsia="方正书宋_GBK"/>
              </w:rPr>
              <w:t>示范、带动、辐射</w:t>
            </w:r>
            <w:r>
              <w:rPr>
                <w:rFonts w:hint="cs" w:ascii="方正书宋_GBK" w:eastAsia="方正书宋_GBK"/>
              </w:rPr>
              <w:t>”</w:t>
            </w:r>
            <w:r>
              <w:rPr>
                <w:rFonts w:hint="eastAsia" w:ascii="方正书宋_GBK" w:eastAsia="方正书宋_GBK"/>
              </w:rPr>
              <w:t>作用</w:t>
            </w: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r>
              <w:rPr>
                <w:rFonts w:hint="eastAsia" w:ascii="方正书宋_GBK" w:eastAsia="方正书宋_GBK"/>
                <w:sz w:val="18"/>
                <w:szCs w:val="18"/>
              </w:rPr>
              <w:t>指导基地开展活动次数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3</w:t>
            </w:r>
            <w:r>
              <w:rPr>
                <w:rFonts w:hint="eastAsia" w:ascii="方正书宋_GBK" w:eastAsia="方正书宋_GBK"/>
              </w:rPr>
              <w:t>次</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2</w:t>
            </w:r>
            <w:r>
              <w:rPr>
                <w:rFonts w:hint="eastAsia" w:ascii="方正书宋_GBK" w:eastAsia="方正书宋_GBK"/>
              </w:rPr>
              <w:t>次</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w:t>
            </w:r>
            <w:r>
              <w:rPr>
                <w:rFonts w:hint="eastAsia" w:ascii="方正书宋_GBK" w:eastAsia="方正书宋_GBK"/>
              </w:rPr>
              <w:t>次</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w:t>
            </w:r>
            <w:r>
              <w:rPr>
                <w:rFonts w:hint="eastAsia" w:ascii="方正书宋_GBK" w:eastAsia="方正书宋_GBK"/>
              </w:rPr>
              <w:t>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r>
              <w:rPr>
                <w:rFonts w:hint="eastAsia" w:ascii="方正书宋_GBK" w:eastAsia="方正书宋_GBK"/>
                <w:sz w:val="18"/>
                <w:szCs w:val="18"/>
              </w:rPr>
              <w:t>对基地实行动态考核次数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w:t>
            </w:r>
            <w:r>
              <w:rPr>
                <w:rFonts w:hint="eastAsia" w:ascii="方正书宋_GBK" w:eastAsia="方正书宋_GBK"/>
              </w:rPr>
              <w:t>次</w:t>
            </w: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r>
              <w:rPr>
                <w:rFonts w:hint="eastAsia" w:ascii="方正书宋_GBK" w:eastAsia="方正书宋_GBK"/>
                <w:sz w:val="18"/>
                <w:szCs w:val="18"/>
              </w:rPr>
              <w:t>首批命名挂牌数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7</w:t>
            </w:r>
            <w:r>
              <w:rPr>
                <w:rFonts w:hint="eastAsia" w:ascii="方正书宋_GBK" w:eastAsia="方正书宋_GBK"/>
              </w:rPr>
              <w:t>个</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6</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5</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5</w:t>
            </w:r>
            <w:r>
              <w:rPr>
                <w:rFonts w:hint="eastAsia" w:ascii="方正书宋_GBK" w:eastAsia="方正书宋_GBK"/>
              </w:rPr>
              <w:t>以下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r>
              <w:rPr>
                <w:rFonts w:hint="eastAsia" w:ascii="方正书宋_GBK" w:eastAsia="方正书宋_GBK"/>
                <w:sz w:val="18"/>
                <w:szCs w:val="18"/>
              </w:rPr>
              <w:t>每年培育基地数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3</w:t>
            </w:r>
            <w:r>
              <w:rPr>
                <w:rFonts w:hint="eastAsia" w:ascii="方正书宋_GBK" w:eastAsia="方正书宋_GBK"/>
              </w:rPr>
              <w:t>个</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2</w:t>
            </w:r>
            <w:r>
              <w:rPr>
                <w:rFonts w:hint="eastAsia" w:ascii="方正书宋_GBK" w:eastAsia="方正书宋_GBK"/>
              </w:rPr>
              <w:t>个</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w:t>
            </w:r>
            <w:r>
              <w:rPr>
                <w:rFonts w:hint="eastAsia" w:ascii="方正书宋_GBK" w:eastAsia="方正书宋_GBK"/>
              </w:rPr>
              <w:t>个</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w:t>
            </w:r>
            <w:r>
              <w:rPr>
                <w:rFonts w:hint="eastAsia" w:ascii="方正书宋_GBK" w:eastAsia="方正书宋_GBK"/>
              </w:rPr>
              <w:t>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、公益性出版物和音像制品</w:t>
            </w:r>
          </w:p>
        </w:tc>
        <w:tc>
          <w:tcPr>
            <w:tcW w:w="12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面向社科工作者公开申报，经专家评定立项，并实行相应管理办法</w:t>
            </w: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针对社会需求，满足群众愿望</w:t>
            </w: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r>
              <w:rPr>
                <w:rFonts w:hint="eastAsia" w:ascii="方正书宋_GBK" w:eastAsia="方正书宋_GBK"/>
                <w:sz w:val="18"/>
                <w:szCs w:val="18"/>
              </w:rPr>
              <w:t>社科理论</w:t>
            </w:r>
            <w:r>
              <w:rPr>
                <w:rFonts w:hint="cs" w:ascii="方正书宋_GBK" w:eastAsia="方正书宋_GBK"/>
                <w:sz w:val="18"/>
                <w:szCs w:val="18"/>
              </w:rPr>
              <w:t>“</w:t>
            </w:r>
            <w:r>
              <w:rPr>
                <w:rFonts w:hint="eastAsia" w:ascii="方正书宋_GBK" w:eastAsia="方正书宋_GBK"/>
                <w:sz w:val="18"/>
                <w:szCs w:val="18"/>
              </w:rPr>
              <w:t>小文章</w:t>
            </w:r>
            <w:r>
              <w:rPr>
                <w:rFonts w:hint="cs" w:ascii="方正书宋_GBK" w:eastAsia="方正书宋_GBK"/>
                <w:sz w:val="18"/>
                <w:szCs w:val="18"/>
              </w:rPr>
              <w:t>”</w:t>
            </w:r>
            <w:r>
              <w:rPr>
                <w:rFonts w:hint="eastAsia" w:ascii="方正书宋_GBK" w:eastAsia="方正书宋_GBK"/>
                <w:sz w:val="18"/>
                <w:szCs w:val="18"/>
              </w:rPr>
              <w:t>发表篇数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10</w:t>
            </w:r>
            <w:r>
              <w:rPr>
                <w:rFonts w:hint="eastAsia" w:ascii="方正书宋_GBK" w:eastAsia="方正书宋_GBK"/>
              </w:rPr>
              <w:t>篇</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6</w:t>
            </w:r>
            <w:r>
              <w:rPr>
                <w:rFonts w:hint="eastAsia" w:ascii="方正书宋_GBK" w:eastAsia="方正书宋_GBK"/>
              </w:rPr>
              <w:t>篇</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4</w:t>
            </w:r>
            <w:r>
              <w:rPr>
                <w:rFonts w:hint="eastAsia" w:ascii="方正书宋_GBK" w:eastAsia="方正书宋_GBK"/>
              </w:rPr>
              <w:t>篇</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4</w:t>
            </w:r>
            <w:r>
              <w:rPr>
                <w:rFonts w:hint="eastAsia" w:ascii="方正书宋_GBK" w:eastAsia="方正书宋_GBK"/>
              </w:rPr>
              <w:t>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r>
              <w:rPr>
                <w:rFonts w:hint="eastAsia" w:ascii="方正书宋_GBK" w:eastAsia="方正书宋_GBK"/>
                <w:sz w:val="18"/>
                <w:szCs w:val="18"/>
              </w:rPr>
              <w:t>每年一部大型出版物完成率</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r>
              <w:rPr>
                <w:rFonts w:hint="eastAsia" w:ascii="方正书宋_GBK" w:eastAsia="方正书宋_GBK"/>
                <w:sz w:val="18"/>
                <w:szCs w:val="18"/>
              </w:rPr>
              <w:t>普及系列读物数量</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3</w:t>
            </w:r>
            <w:r>
              <w:rPr>
                <w:rFonts w:hint="eastAsia" w:ascii="方正书宋_GBK" w:eastAsia="方正书宋_GBK"/>
              </w:rPr>
              <w:t>册</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2</w:t>
            </w:r>
            <w:r>
              <w:rPr>
                <w:rFonts w:hint="eastAsia" w:ascii="方正书宋_GBK" w:eastAsia="方正书宋_GBK"/>
              </w:rPr>
              <w:t>册</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w:t>
            </w:r>
            <w:r>
              <w:rPr>
                <w:rFonts w:hint="eastAsia" w:ascii="方正书宋_GBK" w:eastAsia="方正书宋_GBK"/>
              </w:rPr>
              <w:t>册</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w:t>
            </w:r>
            <w:r>
              <w:rPr>
                <w:rFonts w:hint="eastAsia" w:ascii="方正书宋_GBK" w:eastAsia="方正书宋_GBK"/>
              </w:rPr>
              <w:t>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、社科普及</w:t>
            </w:r>
            <w:r>
              <w:rPr>
                <w:rFonts w:hint="cs" w:ascii="方正书宋_GBK" w:eastAsia="方正书宋_GBK"/>
                <w:b/>
              </w:rPr>
              <w:t>“</w:t>
            </w:r>
            <w:r>
              <w:rPr>
                <w:rFonts w:hint="eastAsia" w:ascii="方正书宋_GBK" w:eastAsia="方正书宋_GBK"/>
                <w:b/>
              </w:rPr>
              <w:t>五进</w:t>
            </w:r>
            <w:r>
              <w:rPr>
                <w:rFonts w:hint="cs" w:ascii="方正书宋_GBK" w:eastAsia="方正书宋_GBK"/>
                <w:b/>
              </w:rPr>
              <w:t>”</w:t>
            </w:r>
            <w:r>
              <w:rPr>
                <w:rFonts w:hint="eastAsia" w:ascii="方正书宋_GBK" w:eastAsia="方正书宋_GBK"/>
                <w:b/>
              </w:rPr>
              <w:t>经常性活动</w:t>
            </w:r>
          </w:p>
        </w:tc>
        <w:tc>
          <w:tcPr>
            <w:tcW w:w="12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组织有关学会结合自身学科特点开展多种形式社科知识</w:t>
            </w:r>
            <w:r>
              <w:rPr>
                <w:rFonts w:hint="cs" w:ascii="方正书宋_GBK" w:eastAsia="方正书宋_GBK"/>
              </w:rPr>
              <w:t>“</w:t>
            </w:r>
            <w:r>
              <w:rPr>
                <w:rFonts w:hint="eastAsia" w:ascii="方正书宋_GBK" w:eastAsia="方正书宋_GBK"/>
              </w:rPr>
              <w:t>五进</w:t>
            </w:r>
            <w:r>
              <w:rPr>
                <w:rFonts w:hint="cs" w:ascii="方正书宋_GBK" w:eastAsia="方正书宋_GBK"/>
              </w:rPr>
              <w:t>”</w:t>
            </w:r>
            <w:r>
              <w:rPr>
                <w:rFonts w:hint="eastAsia" w:ascii="方正书宋_GBK" w:eastAsia="方正书宋_GBK"/>
              </w:rPr>
              <w:t>特色活动。</w:t>
            </w: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着力提升社科普及的质量、层次和品位</w:t>
            </w: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r>
              <w:rPr>
                <w:rFonts w:hint="eastAsia" w:ascii="方正书宋_GBK" w:eastAsia="方正书宋_GBK"/>
                <w:sz w:val="18"/>
                <w:szCs w:val="18"/>
              </w:rPr>
              <w:t>感知社会实践活动次数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4</w:t>
            </w:r>
            <w:r>
              <w:rPr>
                <w:rFonts w:hint="eastAsia" w:ascii="方正书宋_GBK" w:eastAsia="方正书宋_GBK"/>
              </w:rPr>
              <w:t>次</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3</w:t>
            </w:r>
            <w:r>
              <w:rPr>
                <w:rFonts w:hint="eastAsia" w:ascii="方正书宋_GBK" w:eastAsia="方正书宋_GBK"/>
              </w:rPr>
              <w:t>次</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2</w:t>
            </w:r>
            <w:r>
              <w:rPr>
                <w:rFonts w:hint="eastAsia" w:ascii="方正书宋_GBK" w:eastAsia="方正书宋_GBK"/>
              </w:rPr>
              <w:t>次</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2</w:t>
            </w:r>
            <w:r>
              <w:rPr>
                <w:rFonts w:hint="eastAsia" w:ascii="方正书宋_GBK" w:eastAsia="方正书宋_GBK"/>
              </w:rPr>
              <w:t>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r>
              <w:rPr>
                <w:rFonts w:hint="eastAsia" w:ascii="方正书宋_GBK" w:eastAsia="方正书宋_GBK"/>
                <w:sz w:val="18"/>
                <w:szCs w:val="18"/>
              </w:rPr>
              <w:t>电视访谈节目次数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2</w:t>
            </w:r>
            <w:r>
              <w:rPr>
                <w:rFonts w:hint="eastAsia" w:ascii="方正书宋_GBK" w:eastAsia="方正书宋_GBK"/>
              </w:rPr>
              <w:t>次</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w:t>
            </w:r>
            <w:r>
              <w:rPr>
                <w:rFonts w:hint="eastAsia" w:ascii="方正书宋_GBK" w:eastAsia="方正书宋_GBK"/>
              </w:rPr>
              <w:t>次</w:t>
            </w: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r>
              <w:rPr>
                <w:rFonts w:hint="eastAsia" w:ascii="方正书宋_GBK" w:eastAsia="方正书宋_GBK"/>
                <w:sz w:val="18"/>
                <w:szCs w:val="18"/>
              </w:rPr>
              <w:t>专家解疑释惑活动次数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4</w:t>
            </w:r>
            <w:r>
              <w:rPr>
                <w:rFonts w:hint="eastAsia" w:ascii="方正书宋_GBK" w:eastAsia="方正书宋_GBK"/>
              </w:rPr>
              <w:t>次</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3</w:t>
            </w:r>
            <w:r>
              <w:rPr>
                <w:rFonts w:hint="eastAsia" w:ascii="方正书宋_GBK" w:eastAsia="方正书宋_GBK"/>
              </w:rPr>
              <w:t>次</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2</w:t>
            </w:r>
            <w:r>
              <w:rPr>
                <w:rFonts w:hint="eastAsia" w:ascii="方正书宋_GBK" w:eastAsia="方正书宋_GBK"/>
              </w:rPr>
              <w:t>次</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2</w:t>
            </w:r>
            <w:r>
              <w:rPr>
                <w:rFonts w:hint="eastAsia" w:ascii="方正书宋_GBK" w:eastAsia="方正书宋_GBK"/>
              </w:rPr>
              <w:t>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r>
              <w:rPr>
                <w:rFonts w:hint="eastAsia" w:ascii="方正书宋_GBK" w:eastAsia="方正书宋_GBK"/>
                <w:sz w:val="18"/>
                <w:szCs w:val="18"/>
              </w:rPr>
              <w:t>参加</w:t>
            </w:r>
            <w:r>
              <w:rPr>
                <w:rFonts w:hint="cs" w:ascii="方正书宋_GBK" w:eastAsia="方正书宋_GBK"/>
                <w:sz w:val="18"/>
                <w:szCs w:val="18"/>
              </w:rPr>
              <w:t>“</w:t>
            </w:r>
            <w:r>
              <w:rPr>
                <w:rFonts w:hint="eastAsia" w:ascii="方正书宋_GBK" w:eastAsia="方正书宋_GBK"/>
                <w:sz w:val="18"/>
                <w:szCs w:val="18"/>
              </w:rPr>
              <w:t>三下乡</w:t>
            </w:r>
            <w:r>
              <w:rPr>
                <w:rFonts w:hint="cs" w:ascii="方正书宋_GBK" w:eastAsia="方正书宋_GBK"/>
                <w:sz w:val="18"/>
                <w:szCs w:val="18"/>
              </w:rPr>
              <w:t>”</w:t>
            </w:r>
            <w:r>
              <w:rPr>
                <w:rFonts w:hint="eastAsia" w:ascii="方正书宋_GBK" w:eastAsia="方正书宋_GBK"/>
                <w:sz w:val="18"/>
                <w:szCs w:val="18"/>
              </w:rPr>
              <w:t>活动次数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w:t>
            </w:r>
            <w:r>
              <w:rPr>
                <w:rFonts w:hint="eastAsia" w:ascii="方正书宋_GBK" w:eastAsia="方正书宋_GBK"/>
              </w:rPr>
              <w:t>次</w:t>
            </w: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r>
              <w:rPr>
                <w:rFonts w:hint="eastAsia" w:ascii="方正书宋_GBK" w:eastAsia="方正书宋_GBK"/>
                <w:b/>
              </w:rPr>
              <w:t>五、综合业务管理</w:t>
            </w:r>
          </w:p>
        </w:tc>
        <w:tc>
          <w:tcPr>
            <w:tcW w:w="12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r>
              <w:rPr>
                <w:rFonts w:ascii="方正书宋_GBK" w:eastAsia="方正书宋_GBK"/>
              </w:rPr>
              <w:t>15.00</w:t>
            </w:r>
          </w:p>
        </w:tc>
        <w:tc>
          <w:tcPr>
            <w:tcW w:w="29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建立健全社科团体、社科研究机构联合、联系机制和工作格局等体制机制；按省要求努力营造</w:t>
            </w:r>
            <w:r>
              <w:rPr>
                <w:rFonts w:hint="cs" w:ascii="方正书宋_GBK" w:eastAsia="方正书宋_GBK"/>
              </w:rPr>
              <w:t>“</w:t>
            </w:r>
            <w:r>
              <w:rPr>
                <w:rFonts w:hint="eastAsia" w:ascii="方正书宋_GBK" w:eastAsia="方正书宋_GBK"/>
              </w:rPr>
              <w:t>社科温馨之家</w:t>
            </w:r>
            <w:r>
              <w:rPr>
                <w:rFonts w:hint="cs" w:ascii="方正书宋_GBK" w:eastAsia="方正书宋_GBK"/>
              </w:rPr>
              <w:t>”</w:t>
            </w:r>
            <w:r>
              <w:rPr>
                <w:rFonts w:hint="eastAsia" w:ascii="方正书宋_GBK" w:eastAsia="方正书宋_GBK"/>
              </w:rPr>
              <w:t>。</w:t>
            </w:r>
          </w:p>
        </w:tc>
        <w:tc>
          <w:tcPr>
            <w:tcW w:w="29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切实发挥起党委和政府联系社会科学界的桥梁和纽带作用。</w:t>
            </w: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、开展社会科学新型智库建设</w:t>
            </w:r>
          </w:p>
        </w:tc>
        <w:tc>
          <w:tcPr>
            <w:tcW w:w="12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r>
              <w:rPr>
                <w:rFonts w:ascii="方正书宋_GBK" w:eastAsia="方正书宋_GBK"/>
              </w:rPr>
              <w:t>10.00</w:t>
            </w:r>
          </w:p>
        </w:tc>
        <w:tc>
          <w:tcPr>
            <w:tcW w:w="29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组织发动社科人才及时为党委政府和有关部门科学决策提出有针对性、前瞻性、创新性和战略性的对策和建议</w:t>
            </w:r>
          </w:p>
        </w:tc>
        <w:tc>
          <w:tcPr>
            <w:tcW w:w="2976"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把社科新型智库打造成党委、政府科学决策的</w:t>
            </w:r>
            <w:r>
              <w:rPr>
                <w:rFonts w:hint="cs" w:ascii="方正书宋_GBK" w:eastAsia="方正书宋_GBK"/>
              </w:rPr>
              <w:t>“</w:t>
            </w:r>
            <w:r>
              <w:rPr>
                <w:rFonts w:hint="eastAsia" w:ascii="方正书宋_GBK" w:eastAsia="方正书宋_GBK"/>
              </w:rPr>
              <w:t>参谋</w:t>
            </w:r>
            <w:r>
              <w:rPr>
                <w:rFonts w:hint="cs" w:ascii="方正书宋_GBK" w:eastAsia="方正书宋_GBK"/>
              </w:rPr>
              <w:t>”</w:t>
            </w:r>
            <w:r>
              <w:rPr>
                <w:rFonts w:hint="eastAsia" w:ascii="方正书宋_GBK" w:eastAsia="方正书宋_GBK"/>
              </w:rPr>
              <w:t>、</w:t>
            </w:r>
            <w:r>
              <w:rPr>
                <w:rFonts w:hint="cs" w:ascii="方正书宋_GBK" w:eastAsia="方正书宋_GBK"/>
              </w:rPr>
              <w:t>“</w:t>
            </w:r>
            <w:r>
              <w:rPr>
                <w:rFonts w:hint="eastAsia" w:ascii="方正书宋_GBK" w:eastAsia="方正书宋_GBK"/>
              </w:rPr>
              <w:t>助手</w:t>
            </w:r>
            <w:r>
              <w:rPr>
                <w:rFonts w:hint="cs" w:ascii="方正书宋_GBK" w:eastAsia="方正书宋_GBK"/>
              </w:rPr>
              <w:t>”</w:t>
            </w: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动态考核达标率</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90%</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80%</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70%</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70%</w:t>
            </w:r>
            <w:r>
              <w:rPr>
                <w:rFonts w:hint="eastAsia" w:ascii="方正书宋_GBK" w:eastAsia="方正书宋_GBK"/>
              </w:rPr>
              <w:t>以下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w:t>
            </w:r>
            <w:r>
              <w:rPr>
                <w:rFonts w:hint="cs" w:ascii="方正书宋_GBK" w:eastAsia="方正书宋_GBK"/>
                <w:b/>
              </w:rPr>
              <w:t>“</w:t>
            </w:r>
            <w:r>
              <w:rPr>
                <w:rFonts w:hint="eastAsia" w:ascii="方正书宋_GBK" w:eastAsia="方正书宋_GBK"/>
                <w:b/>
              </w:rPr>
              <w:t>社科温馨之家</w:t>
            </w:r>
            <w:r>
              <w:rPr>
                <w:rFonts w:hint="cs" w:ascii="方正书宋_GBK" w:eastAsia="方正书宋_GBK"/>
                <w:b/>
              </w:rPr>
              <w:t>”</w:t>
            </w:r>
          </w:p>
        </w:tc>
        <w:tc>
          <w:tcPr>
            <w:tcW w:w="12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r>
              <w:rPr>
                <w:rFonts w:ascii="方正书宋_GBK" w:eastAsia="方正书宋_GBK"/>
              </w:rPr>
              <w:t>5.00</w:t>
            </w: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形成社科工作者有事办事来找</w:t>
            </w:r>
            <w:r>
              <w:rPr>
                <w:rFonts w:hint="cs" w:ascii="方正书宋_GBK" w:eastAsia="方正书宋_GBK"/>
              </w:rPr>
              <w:t>“</w:t>
            </w:r>
            <w:r>
              <w:rPr>
                <w:rFonts w:hint="eastAsia" w:ascii="方正书宋_GBK" w:eastAsia="方正书宋_GBK"/>
              </w:rPr>
              <w:t>家</w:t>
            </w:r>
            <w:r>
              <w:rPr>
                <w:rFonts w:hint="cs" w:ascii="方正书宋_GBK" w:eastAsia="方正书宋_GBK"/>
              </w:rPr>
              <w:t>”</w:t>
            </w:r>
            <w:r>
              <w:rPr>
                <w:rFonts w:hint="eastAsia" w:ascii="方正书宋_GBK" w:eastAsia="方正书宋_GBK"/>
              </w:rPr>
              <w:t>，困难问题依靠</w:t>
            </w:r>
            <w:r>
              <w:rPr>
                <w:rFonts w:hint="cs" w:ascii="方正书宋_GBK" w:eastAsia="方正书宋_GBK"/>
              </w:rPr>
              <w:t>“</w:t>
            </w:r>
            <w:r>
              <w:rPr>
                <w:rFonts w:hint="eastAsia" w:ascii="方正书宋_GBK" w:eastAsia="方正书宋_GBK"/>
              </w:rPr>
              <w:t>家</w:t>
            </w:r>
            <w:r>
              <w:rPr>
                <w:rFonts w:hint="cs" w:ascii="方正书宋_GBK" w:eastAsia="方正书宋_GBK"/>
              </w:rPr>
              <w:t>”</w:t>
            </w:r>
            <w:r>
              <w:rPr>
                <w:rFonts w:hint="eastAsia" w:ascii="方正书宋_GBK" w:eastAsia="方正书宋_GBK"/>
              </w:rPr>
              <w:t>，反映诉求通过</w:t>
            </w:r>
            <w:r>
              <w:rPr>
                <w:rFonts w:hint="cs" w:ascii="方正书宋_GBK" w:eastAsia="方正书宋_GBK"/>
              </w:rPr>
              <w:t>“</w:t>
            </w:r>
            <w:r>
              <w:rPr>
                <w:rFonts w:hint="eastAsia" w:ascii="方正书宋_GBK" w:eastAsia="方正书宋_GBK"/>
              </w:rPr>
              <w:t>家</w:t>
            </w:r>
            <w:r>
              <w:rPr>
                <w:rFonts w:hint="cs" w:ascii="方正书宋_GBK" w:eastAsia="方正书宋_GBK"/>
              </w:rPr>
              <w:t>”</w:t>
            </w:r>
            <w:r>
              <w:rPr>
                <w:rFonts w:hint="eastAsia" w:ascii="方正书宋_GBK" w:eastAsia="方正书宋_GBK"/>
              </w:rPr>
              <w:t>的社科联与广大社科工作者</w:t>
            </w:r>
            <w:r>
              <w:rPr>
                <w:rFonts w:hint="cs" w:ascii="方正书宋_GBK" w:eastAsia="方正书宋_GBK"/>
              </w:rPr>
              <w:t>“</w:t>
            </w:r>
            <w:r>
              <w:rPr>
                <w:rFonts w:hint="eastAsia" w:ascii="方正书宋_GBK" w:eastAsia="方正书宋_GBK"/>
              </w:rPr>
              <w:t>一大家</w:t>
            </w:r>
            <w:r>
              <w:rPr>
                <w:rFonts w:hint="cs" w:ascii="方正书宋_GBK" w:eastAsia="方正书宋_GBK"/>
              </w:rPr>
              <w:t>”</w:t>
            </w:r>
          </w:p>
        </w:tc>
        <w:tc>
          <w:tcPr>
            <w:tcW w:w="2976"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r>
              <w:rPr>
                <w:rFonts w:hint="eastAsia" w:ascii="方正书宋_GBK" w:eastAsia="方正书宋_GBK"/>
              </w:rPr>
              <w:t>探索</w:t>
            </w:r>
            <w:r>
              <w:rPr>
                <w:rFonts w:hint="cs" w:ascii="方正书宋_GBK" w:eastAsia="方正书宋_GBK"/>
              </w:rPr>
              <w:t>“</w:t>
            </w:r>
            <w:r>
              <w:rPr>
                <w:rFonts w:hint="eastAsia" w:ascii="方正书宋_GBK" w:eastAsia="方正书宋_GBK"/>
              </w:rPr>
              <w:t>基地</w:t>
            </w:r>
            <w:r>
              <w:rPr>
                <w:rFonts w:ascii="方正书宋_GBK" w:eastAsia="方正书宋_GBK"/>
              </w:rPr>
              <w:t>+</w:t>
            </w:r>
            <w:r>
              <w:rPr>
                <w:rFonts w:hint="eastAsia" w:ascii="方正书宋_GBK" w:eastAsia="方正书宋_GBK"/>
              </w:rPr>
              <w:t>队伍</w:t>
            </w:r>
            <w:r>
              <w:rPr>
                <w:rFonts w:ascii="方正书宋_GBK" w:eastAsia="方正书宋_GBK"/>
              </w:rPr>
              <w:t>+</w:t>
            </w:r>
            <w:r>
              <w:rPr>
                <w:rFonts w:hint="eastAsia" w:ascii="方正书宋_GBK" w:eastAsia="方正书宋_GBK"/>
              </w:rPr>
              <w:t>课题</w:t>
            </w:r>
            <w:r>
              <w:rPr>
                <w:rFonts w:hint="cs" w:ascii="方正书宋_GBK" w:eastAsia="方正书宋_GBK"/>
              </w:rPr>
              <w:t>”</w:t>
            </w:r>
            <w:r>
              <w:rPr>
                <w:rFonts w:hint="eastAsia" w:ascii="方正书宋_GBK" w:eastAsia="方正书宋_GBK"/>
              </w:rPr>
              <w:t>的培育模式，形成</w:t>
            </w:r>
            <w:r>
              <w:rPr>
                <w:rFonts w:hint="cs" w:ascii="方正书宋_GBK" w:eastAsia="方正书宋_GBK"/>
              </w:rPr>
              <w:t>“</w:t>
            </w:r>
            <w:r>
              <w:rPr>
                <w:rFonts w:hint="eastAsia" w:ascii="方正书宋_GBK" w:eastAsia="方正书宋_GBK"/>
              </w:rPr>
              <w:t>大社科</w:t>
            </w:r>
            <w:r>
              <w:rPr>
                <w:rFonts w:hint="cs" w:ascii="方正书宋_GBK" w:eastAsia="方正书宋_GBK"/>
              </w:rPr>
              <w:t>”</w:t>
            </w:r>
            <w:r>
              <w:rPr>
                <w:rFonts w:hint="eastAsia" w:ascii="方正书宋_GBK" w:eastAsia="方正书宋_GBK"/>
              </w:rPr>
              <w:t>工作格局</w:t>
            </w: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r>
              <w:rPr>
                <w:rFonts w:hint="eastAsia" w:ascii="方正书宋_GBK" w:eastAsia="方正书宋_GBK"/>
                <w:sz w:val="18"/>
                <w:szCs w:val="18"/>
              </w:rPr>
              <w:t>重新修订《市社科联工作手册》完成率</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r>
              <w:rPr>
                <w:rFonts w:hint="eastAsia" w:ascii="方正书宋_GBK" w:eastAsia="方正书宋_GBK"/>
                <w:sz w:val="18"/>
                <w:szCs w:val="18"/>
              </w:rPr>
              <w:t>建设市级哲学社会科学研究基地个数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2</w:t>
            </w:r>
            <w:r>
              <w:rPr>
                <w:rFonts w:hint="eastAsia" w:ascii="方正书宋_GBK" w:eastAsia="方正书宋_GBK"/>
              </w:rPr>
              <w:t>个</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w:t>
            </w:r>
            <w:r>
              <w:rPr>
                <w:rFonts w:hint="eastAsia" w:ascii="方正书宋_GBK" w:eastAsia="方正书宋_GBK"/>
              </w:rPr>
              <w:t>个</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0</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r>
              <w:rPr>
                <w:rFonts w:hint="eastAsia" w:ascii="方正书宋_GBK" w:eastAsia="方正书宋_GBK"/>
                <w:sz w:val="18"/>
                <w:szCs w:val="18"/>
              </w:rPr>
              <w:t>每年编辑《社会科学年鉴》完成率</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b/>
              </w:rPr>
            </w:pPr>
          </w:p>
        </w:tc>
        <w:tc>
          <w:tcPr>
            <w:tcW w:w="12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2976" w:type="dxa"/>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rPr>
            </w:pPr>
          </w:p>
        </w:tc>
        <w:tc>
          <w:tcPr>
            <w:tcW w:w="1417"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方正书宋_GBK" w:eastAsia="方正书宋_GBK"/>
                <w:sz w:val="18"/>
                <w:szCs w:val="18"/>
              </w:rPr>
            </w:pPr>
            <w:r>
              <w:rPr>
                <w:rFonts w:hint="eastAsia" w:ascii="方正书宋_GBK" w:eastAsia="方正书宋_GBK"/>
                <w:sz w:val="18"/>
                <w:szCs w:val="18"/>
              </w:rPr>
              <w:t>资助省、市级研究基地个数</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6</w:t>
            </w:r>
            <w:r>
              <w:rPr>
                <w:rFonts w:hint="eastAsia" w:ascii="方正书宋_GBK" w:eastAsia="方正书宋_GBK"/>
              </w:rPr>
              <w:t>个</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3</w:t>
            </w:r>
            <w:r>
              <w:rPr>
                <w:rFonts w:hint="eastAsia" w:ascii="方正书宋_GBK" w:eastAsia="方正书宋_GBK"/>
              </w:rPr>
              <w:t>个</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2</w:t>
            </w:r>
            <w:r>
              <w:rPr>
                <w:rFonts w:hint="eastAsia" w:ascii="方正书宋_GBK" w:eastAsia="方正书宋_GBK"/>
              </w:rPr>
              <w:t>个</w:t>
            </w:r>
          </w:p>
        </w:tc>
        <w:tc>
          <w:tcPr>
            <w:tcW w:w="737" w:type="dxa"/>
            <w:shd w:val="clear" w:color="auto" w:fill="auto"/>
            <w:noWrap w:val="0"/>
            <w:vAlign w:val="center"/>
          </w:tcPr>
          <w:p>
            <w:pPr>
              <w:spacing w:line="300" w:lineRule="exact"/>
              <w:jc w:val="center"/>
              <w:rPr>
                <w:rFonts w:ascii="方正书宋_GBK" w:eastAsia="方正书宋_GBK"/>
              </w:rPr>
            </w:pPr>
            <w:r>
              <w:rPr>
                <w:rFonts w:ascii="方正书宋_GBK" w:eastAsia="方正书宋_GBK"/>
              </w:rPr>
              <w:t>1</w:t>
            </w:r>
            <w:r>
              <w:rPr>
                <w:rFonts w:hint="eastAsia" w:ascii="方正书宋_GBK" w:eastAsia="方正书宋_GBK"/>
              </w:rPr>
              <w:t>个</w:t>
            </w:r>
          </w:p>
        </w:tc>
      </w:tr>
    </w:tbl>
    <w:p>
      <w:pPr>
        <w:autoSpaceDE w:val="0"/>
        <w:autoSpaceDN w:val="0"/>
        <w:adjustRightInd w:val="0"/>
        <w:ind w:firstLine="640" w:firstLineChars="200"/>
        <w:jc w:val="left"/>
        <w:rPr>
          <w:rFonts w:ascii="黑体" w:hAnsi="黑体" w:eastAsia="黑体" w:cs="Times New Roman"/>
          <w:color w:val="auto"/>
          <w:sz w:val="32"/>
          <w:szCs w:val="32"/>
        </w:rPr>
      </w:pPr>
      <w:r>
        <w:rPr>
          <w:rFonts w:hint="eastAsia" w:ascii="黑体" w:hAnsi="黑体" w:eastAsia="黑体" w:cs="Times New Roman"/>
          <w:color w:val="auto"/>
          <w:sz w:val="32"/>
          <w:szCs w:val="32"/>
        </w:rPr>
        <w:t>六、政府采购预算情况</w:t>
      </w:r>
    </w:p>
    <w:p>
      <w:pPr>
        <w:outlineLvl w:val="0"/>
        <w:rPr>
          <w:rFonts w:hint="eastAsia" w:ascii="Times New Roman" w:hAnsi="Times New Roman" w:eastAsia="方正仿宋_GBK" w:cs="Times New Roman"/>
          <w:sz w:val="32"/>
          <w:szCs w:val="24"/>
        </w:rPr>
      </w:pPr>
      <w:bookmarkStart w:id="2" w:name="_Toc471398468"/>
      <w:r>
        <w:rPr>
          <w:rFonts w:ascii="Times New Roman" w:hAnsi="Times New Roman" w:eastAsia="方正仿宋_GBK" w:cs="Times New Roman"/>
          <w:sz w:val="32"/>
          <w:szCs w:val="24"/>
        </w:rPr>
        <w:t xml:space="preserve">   20</w:t>
      </w:r>
      <w:r>
        <w:rPr>
          <w:rFonts w:hint="eastAsia" w:ascii="Times New Roman" w:hAnsi="Times New Roman" w:eastAsia="方正仿宋_GBK" w:cs="Times New Roman"/>
          <w:sz w:val="32"/>
          <w:szCs w:val="24"/>
        </w:rPr>
        <w:t>1</w:t>
      </w:r>
      <w:r>
        <w:rPr>
          <w:rFonts w:hint="eastAsia" w:ascii="Times New Roman" w:hAnsi="Times New Roman" w:eastAsia="方正仿宋_GBK" w:cs="Times New Roman"/>
          <w:sz w:val="32"/>
          <w:szCs w:val="24"/>
          <w:lang w:val="en-US" w:eastAsia="zh-CN"/>
        </w:rPr>
        <w:t>9</w:t>
      </w:r>
      <w:r>
        <w:rPr>
          <w:rFonts w:ascii="Times New Roman" w:hAnsi="Times New Roman" w:eastAsia="方正仿宋_GBK" w:cs="Times New Roman"/>
          <w:sz w:val="32"/>
          <w:szCs w:val="24"/>
        </w:rPr>
        <w:t>年，安排政府采购预算</w:t>
      </w:r>
      <w:r>
        <w:rPr>
          <w:rFonts w:hint="eastAsia" w:ascii="Times New Roman" w:hAnsi="Times New Roman" w:eastAsia="方正仿宋_GBK" w:cs="Times New Roman"/>
          <w:color w:val="auto"/>
          <w:sz w:val="32"/>
          <w:szCs w:val="24"/>
          <w:lang w:val="en-US" w:eastAsia="zh-CN"/>
        </w:rPr>
        <w:t>1.81</w:t>
      </w:r>
      <w:r>
        <w:rPr>
          <w:rFonts w:ascii="Times New Roman" w:hAnsi="Times New Roman" w:eastAsia="方正仿宋_GBK" w:cs="Times New Roman"/>
          <w:sz w:val="32"/>
          <w:szCs w:val="24"/>
        </w:rPr>
        <w:t>万元。具体内容见下表</w:t>
      </w:r>
      <w:r>
        <w:rPr>
          <w:rFonts w:hint="eastAsia" w:ascii="Times New Roman" w:hAnsi="Times New Roman" w:eastAsia="方正仿宋_GBK" w:cs="Times New Roman"/>
          <w:sz w:val="32"/>
          <w:szCs w:val="24"/>
          <w:lang w:eastAsia="zh-CN"/>
        </w:rPr>
        <w:t>：</w:t>
      </w:r>
    </w:p>
    <w:p>
      <w:pPr>
        <w:jc w:val="center"/>
        <w:outlineLvl w:val="0"/>
        <w:rPr>
          <w:rFonts w:ascii="方正小标宋_GBK" w:eastAsia="方正小标宋_GBK"/>
          <w:sz w:val="32"/>
        </w:rPr>
      </w:pPr>
      <w:bookmarkStart w:id="3" w:name="_Toc503971530"/>
      <w:r>
        <w:rPr>
          <w:rFonts w:hint="eastAsia" w:ascii="方正小标宋_GBK" w:eastAsia="方正小标宋_GBK"/>
          <w:sz w:val="32"/>
        </w:rPr>
        <w:t>部门政府采购预算</w:t>
      </w:r>
      <w:bookmarkEnd w:id="3"/>
    </w:p>
    <w:tbl>
      <w:tblPr>
        <w:tblStyle w:val="7"/>
        <w:tblW w:w="14568"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1"/>
        <w:gridCol w:w="878"/>
        <w:gridCol w:w="1290"/>
        <w:gridCol w:w="1335"/>
        <w:gridCol w:w="714"/>
        <w:gridCol w:w="742"/>
        <w:gridCol w:w="859"/>
        <w:gridCol w:w="887"/>
        <w:gridCol w:w="916"/>
        <w:gridCol w:w="916"/>
        <w:gridCol w:w="916"/>
        <w:gridCol w:w="919"/>
        <w:gridCol w:w="919"/>
        <w:gridCol w:w="8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495" w:hRule="atLeast"/>
          <w:tblHeader/>
          <w:jc w:val="center"/>
        </w:trPr>
        <w:tc>
          <w:tcPr>
            <w:tcW w:w="8219" w:type="dxa"/>
            <w:gridSpan w:val="7"/>
            <w:tcBorders>
              <w:top w:val="single" w:color="FFFFFF" w:sz="6" w:space="0"/>
              <w:left w:val="single" w:color="FFFFFF" w:sz="6" w:space="0"/>
              <w:right w:val="single" w:color="FFFFFF" w:sz="6" w:space="0"/>
            </w:tcBorders>
            <w:vAlign w:val="center"/>
          </w:tcPr>
          <w:p>
            <w:pPr>
              <w:spacing w:line="300" w:lineRule="exact"/>
              <w:jc w:val="left"/>
              <w:rPr>
                <w:rFonts w:ascii="方正小标宋_GBK" w:eastAsia="方正小标宋_GBK"/>
                <w:sz w:val="24"/>
              </w:rPr>
            </w:pPr>
            <w:r>
              <w:rPr>
                <w:rFonts w:hint="eastAsia" w:ascii="方正小标宋_GBK" w:eastAsia="方正小标宋_GBK"/>
                <w:sz w:val="24"/>
              </w:rPr>
              <w:t>191承德市社会科学界联合会</w:t>
            </w:r>
          </w:p>
        </w:tc>
        <w:tc>
          <w:tcPr>
            <w:tcW w:w="6349" w:type="dxa"/>
            <w:gridSpan w:val="7"/>
            <w:tcBorders>
              <w:top w:val="single" w:color="FFFFFF" w:sz="6" w:space="0"/>
              <w:left w:val="single" w:color="FFFFFF" w:sz="6" w:space="0"/>
              <w:right w:val="single" w:color="FFFFFF" w:sz="6" w:space="0"/>
            </w:tcBorders>
            <w:vAlign w:val="center"/>
          </w:tcPr>
          <w:p>
            <w:pPr>
              <w:spacing w:line="300" w:lineRule="exact"/>
              <w:jc w:val="right"/>
              <w:rPr>
                <w:rFonts w:ascii="方正书宋_GBK" w:eastAsia="方正书宋_GBK"/>
                <w:sz w:val="24"/>
              </w:rPr>
            </w:pPr>
            <w:r>
              <w:rPr>
                <w:rFonts w:hint="eastAsia" w:ascii="方正书宋_GBK" w:eastAsia="方正书宋_GBK"/>
                <w:sz w:val="24"/>
              </w:rP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blHeader/>
          <w:jc w:val="center"/>
        </w:trPr>
        <w:tc>
          <w:tcPr>
            <w:tcW w:w="3279" w:type="dxa"/>
            <w:gridSpan w:val="2"/>
            <w:vAlign w:val="center"/>
          </w:tcPr>
          <w:p>
            <w:pPr>
              <w:spacing w:line="300" w:lineRule="exact"/>
              <w:jc w:val="center"/>
              <w:rPr>
                <w:rFonts w:ascii="方正书宋_GBK" w:eastAsia="方正书宋_GBK"/>
                <w:b/>
              </w:rPr>
            </w:pPr>
            <w:r>
              <w:rPr>
                <w:rFonts w:hint="eastAsia" w:ascii="方正书宋_GBK" w:eastAsia="方正书宋_GBK"/>
                <w:b/>
              </w:rPr>
              <w:t>政府采购项目来源</w:t>
            </w:r>
          </w:p>
        </w:tc>
        <w:tc>
          <w:tcPr>
            <w:tcW w:w="1290" w:type="dxa"/>
            <w:vMerge w:val="restart"/>
            <w:vAlign w:val="center"/>
          </w:tcPr>
          <w:p>
            <w:pPr>
              <w:spacing w:line="300" w:lineRule="exact"/>
              <w:jc w:val="center"/>
              <w:rPr>
                <w:rFonts w:ascii="方正书宋_GBK" w:eastAsia="方正书宋_GBK"/>
                <w:b/>
              </w:rPr>
            </w:pPr>
            <w:r>
              <w:rPr>
                <w:rFonts w:hint="eastAsia" w:ascii="方正书宋_GBK" w:eastAsia="方正书宋_GBK"/>
                <w:b/>
              </w:rPr>
              <w:t>采购物品名称</w:t>
            </w:r>
          </w:p>
        </w:tc>
        <w:tc>
          <w:tcPr>
            <w:tcW w:w="1335" w:type="dxa"/>
            <w:vMerge w:val="restart"/>
            <w:vAlign w:val="center"/>
          </w:tcPr>
          <w:p>
            <w:pPr>
              <w:spacing w:line="300" w:lineRule="exact"/>
              <w:jc w:val="center"/>
              <w:rPr>
                <w:rFonts w:ascii="方正书宋_GBK" w:eastAsia="方正书宋_GBK"/>
                <w:b/>
              </w:rPr>
            </w:pPr>
            <w:r>
              <w:rPr>
                <w:rFonts w:hint="eastAsia" w:ascii="方正书宋_GBK" w:eastAsia="方正书宋_GBK"/>
                <w:b/>
              </w:rPr>
              <w:t>政府采购目录序号</w:t>
            </w:r>
          </w:p>
        </w:tc>
        <w:tc>
          <w:tcPr>
            <w:tcW w:w="714" w:type="dxa"/>
            <w:vMerge w:val="restart"/>
            <w:vAlign w:val="center"/>
          </w:tcPr>
          <w:p>
            <w:pPr>
              <w:spacing w:line="300" w:lineRule="exact"/>
              <w:jc w:val="center"/>
              <w:rPr>
                <w:rFonts w:ascii="方正书宋_GBK" w:eastAsia="方正书宋_GBK"/>
                <w:b/>
              </w:rPr>
            </w:pPr>
            <w:r>
              <w:rPr>
                <w:rFonts w:hint="eastAsia" w:ascii="方正书宋_GBK" w:eastAsia="方正书宋_GBK"/>
                <w:b/>
              </w:rPr>
              <w:t>数量单位</w:t>
            </w:r>
          </w:p>
        </w:tc>
        <w:tc>
          <w:tcPr>
            <w:tcW w:w="742" w:type="dxa"/>
            <w:vMerge w:val="restart"/>
            <w:vAlign w:val="center"/>
          </w:tcPr>
          <w:p>
            <w:pPr>
              <w:spacing w:line="300" w:lineRule="exact"/>
              <w:jc w:val="center"/>
              <w:rPr>
                <w:rFonts w:ascii="方正书宋_GBK" w:eastAsia="方正书宋_GBK"/>
                <w:b/>
              </w:rPr>
            </w:pPr>
            <w:r>
              <w:rPr>
                <w:rFonts w:hint="eastAsia" w:ascii="方正书宋_GBK" w:eastAsia="方正书宋_GBK"/>
                <w:b/>
              </w:rPr>
              <w:t>数量</w:t>
            </w:r>
          </w:p>
        </w:tc>
        <w:tc>
          <w:tcPr>
            <w:tcW w:w="859" w:type="dxa"/>
            <w:vMerge w:val="restart"/>
            <w:vAlign w:val="center"/>
          </w:tcPr>
          <w:p>
            <w:pPr>
              <w:spacing w:line="300" w:lineRule="exact"/>
              <w:jc w:val="center"/>
              <w:rPr>
                <w:rFonts w:ascii="方正书宋_GBK" w:eastAsia="方正书宋_GBK"/>
                <w:b/>
              </w:rPr>
            </w:pPr>
            <w:r>
              <w:rPr>
                <w:rFonts w:hint="eastAsia" w:ascii="方正书宋_GBK" w:eastAsia="方正书宋_GBK"/>
                <w:b/>
              </w:rPr>
              <w:t>单价</w:t>
            </w:r>
          </w:p>
        </w:tc>
        <w:tc>
          <w:tcPr>
            <w:tcW w:w="6349" w:type="dxa"/>
            <w:gridSpan w:val="7"/>
            <w:vAlign w:val="center"/>
          </w:tcPr>
          <w:p>
            <w:pPr>
              <w:spacing w:line="300" w:lineRule="exact"/>
              <w:jc w:val="center"/>
              <w:rPr>
                <w:rFonts w:ascii="方正书宋_GBK" w:eastAsia="方正书宋_GBK"/>
                <w:b/>
              </w:rPr>
            </w:pPr>
            <w:r>
              <w:rPr>
                <w:rFonts w:hint="eastAsia" w:ascii="方正书宋_GBK" w:eastAsia="方正书宋_GBK"/>
                <w:b/>
              </w:rPr>
              <w:t>政府采购金额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blHeader/>
          <w:jc w:val="center"/>
        </w:trPr>
        <w:tc>
          <w:tcPr>
            <w:tcW w:w="2401" w:type="dxa"/>
            <w:vMerge w:val="restart"/>
            <w:vAlign w:val="center"/>
          </w:tcPr>
          <w:p>
            <w:pPr>
              <w:spacing w:line="300" w:lineRule="exact"/>
              <w:jc w:val="center"/>
              <w:rPr>
                <w:rFonts w:ascii="方正书宋_GBK" w:eastAsia="方正书宋_GBK"/>
                <w:b/>
              </w:rPr>
            </w:pPr>
            <w:r>
              <w:rPr>
                <w:rFonts w:hint="eastAsia" w:ascii="方正书宋_GBK" w:eastAsia="方正书宋_GBK"/>
                <w:b/>
              </w:rPr>
              <w:t>项目名称</w:t>
            </w:r>
          </w:p>
        </w:tc>
        <w:tc>
          <w:tcPr>
            <w:tcW w:w="878" w:type="dxa"/>
            <w:vMerge w:val="restart"/>
            <w:vAlign w:val="center"/>
          </w:tcPr>
          <w:p>
            <w:pPr>
              <w:spacing w:line="300" w:lineRule="exact"/>
              <w:jc w:val="center"/>
              <w:rPr>
                <w:rFonts w:ascii="方正书宋_GBK" w:eastAsia="方正书宋_GBK"/>
                <w:b/>
              </w:rPr>
            </w:pPr>
            <w:r>
              <w:rPr>
                <w:rFonts w:hint="eastAsia" w:ascii="方正书宋_GBK" w:eastAsia="方正书宋_GBK"/>
                <w:b/>
              </w:rPr>
              <w:t>预算资金</w:t>
            </w:r>
          </w:p>
        </w:tc>
        <w:tc>
          <w:tcPr>
            <w:tcW w:w="1290" w:type="dxa"/>
            <w:vMerge w:val="continue"/>
            <w:vAlign w:val="center"/>
          </w:tcPr>
          <w:p>
            <w:pPr>
              <w:spacing w:line="300" w:lineRule="exact"/>
              <w:jc w:val="left"/>
              <w:outlineLvl w:val="0"/>
            </w:pPr>
          </w:p>
        </w:tc>
        <w:tc>
          <w:tcPr>
            <w:tcW w:w="1335" w:type="dxa"/>
            <w:vMerge w:val="continue"/>
            <w:vAlign w:val="center"/>
          </w:tcPr>
          <w:p>
            <w:pPr>
              <w:spacing w:line="300" w:lineRule="exact"/>
              <w:jc w:val="left"/>
              <w:outlineLvl w:val="0"/>
            </w:pPr>
          </w:p>
        </w:tc>
        <w:tc>
          <w:tcPr>
            <w:tcW w:w="714" w:type="dxa"/>
            <w:vMerge w:val="continue"/>
            <w:vAlign w:val="center"/>
          </w:tcPr>
          <w:p>
            <w:pPr>
              <w:spacing w:line="300" w:lineRule="exact"/>
              <w:jc w:val="left"/>
              <w:outlineLvl w:val="0"/>
            </w:pPr>
          </w:p>
        </w:tc>
        <w:tc>
          <w:tcPr>
            <w:tcW w:w="742" w:type="dxa"/>
            <w:vMerge w:val="continue"/>
            <w:vAlign w:val="center"/>
          </w:tcPr>
          <w:p>
            <w:pPr>
              <w:spacing w:line="300" w:lineRule="exact"/>
              <w:jc w:val="left"/>
              <w:outlineLvl w:val="0"/>
            </w:pPr>
          </w:p>
        </w:tc>
        <w:tc>
          <w:tcPr>
            <w:tcW w:w="859" w:type="dxa"/>
            <w:vMerge w:val="continue"/>
            <w:vAlign w:val="center"/>
          </w:tcPr>
          <w:p>
            <w:pPr>
              <w:spacing w:line="300" w:lineRule="exact"/>
              <w:jc w:val="left"/>
              <w:outlineLvl w:val="0"/>
            </w:pPr>
          </w:p>
        </w:tc>
        <w:tc>
          <w:tcPr>
            <w:tcW w:w="887" w:type="dxa"/>
            <w:vMerge w:val="restart"/>
            <w:vAlign w:val="center"/>
          </w:tcPr>
          <w:p>
            <w:pPr>
              <w:spacing w:line="300" w:lineRule="exact"/>
              <w:jc w:val="center"/>
              <w:rPr>
                <w:rFonts w:ascii="方正书宋_GBK" w:eastAsia="方正书宋_GBK"/>
                <w:b/>
              </w:rPr>
            </w:pPr>
            <w:r>
              <w:rPr>
                <w:rFonts w:hint="eastAsia" w:ascii="方正书宋_GBK" w:eastAsia="方正书宋_GBK"/>
                <w:b/>
              </w:rPr>
              <w:t>总计</w:t>
            </w:r>
          </w:p>
        </w:tc>
        <w:tc>
          <w:tcPr>
            <w:tcW w:w="4586" w:type="dxa"/>
            <w:gridSpan w:val="5"/>
            <w:vAlign w:val="center"/>
          </w:tcPr>
          <w:p>
            <w:pPr>
              <w:spacing w:line="300" w:lineRule="exact"/>
              <w:jc w:val="center"/>
              <w:rPr>
                <w:rFonts w:ascii="方正书宋_GBK" w:eastAsia="方正书宋_GBK"/>
                <w:b/>
              </w:rPr>
            </w:pPr>
            <w:r>
              <w:rPr>
                <w:rFonts w:hint="eastAsia" w:ascii="方正书宋_GBK" w:eastAsia="方正书宋_GBK"/>
                <w:b/>
              </w:rPr>
              <w:t>当年部门预算安排资金</w:t>
            </w:r>
          </w:p>
        </w:tc>
        <w:tc>
          <w:tcPr>
            <w:tcW w:w="876" w:type="dxa"/>
            <w:vMerge w:val="restart"/>
            <w:vAlign w:val="center"/>
          </w:tcPr>
          <w:p>
            <w:pPr>
              <w:spacing w:line="300" w:lineRule="exact"/>
              <w:jc w:val="center"/>
              <w:rPr>
                <w:rFonts w:ascii="方正书宋_GBK" w:eastAsia="方正书宋_GBK"/>
                <w:b/>
              </w:rPr>
            </w:pPr>
            <w:r>
              <w:rPr>
                <w:rFonts w:hint="eastAsia" w:ascii="方正书宋_GBK" w:eastAsia="方正书宋_GBK"/>
                <w:b/>
              </w:rPr>
              <w:t>其他渠道资金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blHeader/>
          <w:jc w:val="center"/>
        </w:trPr>
        <w:tc>
          <w:tcPr>
            <w:tcW w:w="2401" w:type="dxa"/>
            <w:vMerge w:val="continue"/>
            <w:vAlign w:val="center"/>
          </w:tcPr>
          <w:p>
            <w:pPr>
              <w:spacing w:line="300" w:lineRule="exact"/>
              <w:jc w:val="left"/>
              <w:outlineLvl w:val="0"/>
            </w:pPr>
          </w:p>
        </w:tc>
        <w:tc>
          <w:tcPr>
            <w:tcW w:w="878" w:type="dxa"/>
            <w:vMerge w:val="continue"/>
            <w:vAlign w:val="center"/>
          </w:tcPr>
          <w:p>
            <w:pPr>
              <w:spacing w:line="300" w:lineRule="exact"/>
              <w:jc w:val="left"/>
              <w:outlineLvl w:val="0"/>
            </w:pPr>
          </w:p>
        </w:tc>
        <w:tc>
          <w:tcPr>
            <w:tcW w:w="1290" w:type="dxa"/>
            <w:vMerge w:val="continue"/>
            <w:vAlign w:val="center"/>
          </w:tcPr>
          <w:p>
            <w:pPr>
              <w:spacing w:line="300" w:lineRule="exact"/>
              <w:jc w:val="left"/>
              <w:outlineLvl w:val="0"/>
            </w:pPr>
          </w:p>
        </w:tc>
        <w:tc>
          <w:tcPr>
            <w:tcW w:w="1335" w:type="dxa"/>
            <w:vMerge w:val="continue"/>
            <w:vAlign w:val="center"/>
          </w:tcPr>
          <w:p>
            <w:pPr>
              <w:spacing w:line="300" w:lineRule="exact"/>
              <w:jc w:val="left"/>
              <w:outlineLvl w:val="0"/>
            </w:pPr>
          </w:p>
        </w:tc>
        <w:tc>
          <w:tcPr>
            <w:tcW w:w="714" w:type="dxa"/>
            <w:vMerge w:val="continue"/>
            <w:vAlign w:val="center"/>
          </w:tcPr>
          <w:p>
            <w:pPr>
              <w:spacing w:line="300" w:lineRule="exact"/>
              <w:jc w:val="left"/>
              <w:outlineLvl w:val="0"/>
            </w:pPr>
          </w:p>
        </w:tc>
        <w:tc>
          <w:tcPr>
            <w:tcW w:w="742" w:type="dxa"/>
            <w:vMerge w:val="continue"/>
            <w:vAlign w:val="center"/>
          </w:tcPr>
          <w:p>
            <w:pPr>
              <w:spacing w:line="300" w:lineRule="exact"/>
              <w:jc w:val="left"/>
              <w:outlineLvl w:val="0"/>
            </w:pPr>
          </w:p>
        </w:tc>
        <w:tc>
          <w:tcPr>
            <w:tcW w:w="859" w:type="dxa"/>
            <w:vMerge w:val="continue"/>
            <w:vAlign w:val="center"/>
          </w:tcPr>
          <w:p>
            <w:pPr>
              <w:spacing w:line="300" w:lineRule="exact"/>
              <w:jc w:val="left"/>
              <w:outlineLvl w:val="0"/>
            </w:pPr>
          </w:p>
        </w:tc>
        <w:tc>
          <w:tcPr>
            <w:tcW w:w="887" w:type="dxa"/>
            <w:vMerge w:val="continue"/>
            <w:vAlign w:val="center"/>
          </w:tcPr>
          <w:p>
            <w:pPr>
              <w:spacing w:line="300" w:lineRule="exact"/>
              <w:jc w:val="left"/>
              <w:outlineLvl w:val="0"/>
            </w:pPr>
          </w:p>
        </w:tc>
        <w:tc>
          <w:tcPr>
            <w:tcW w:w="916" w:type="dxa"/>
            <w:vAlign w:val="center"/>
          </w:tcPr>
          <w:p>
            <w:pPr>
              <w:spacing w:line="300" w:lineRule="exact"/>
              <w:jc w:val="center"/>
              <w:rPr>
                <w:rFonts w:ascii="方正书宋_GBK" w:eastAsia="方正书宋_GBK"/>
                <w:b/>
              </w:rPr>
            </w:pPr>
            <w:r>
              <w:rPr>
                <w:rFonts w:hint="eastAsia" w:ascii="方正书宋_GBK" w:eastAsia="方正书宋_GBK"/>
                <w:b/>
              </w:rPr>
              <w:t>合计</w:t>
            </w:r>
          </w:p>
        </w:tc>
        <w:tc>
          <w:tcPr>
            <w:tcW w:w="916" w:type="dxa"/>
            <w:vAlign w:val="center"/>
          </w:tcPr>
          <w:p>
            <w:pPr>
              <w:spacing w:line="300" w:lineRule="exact"/>
              <w:jc w:val="center"/>
              <w:rPr>
                <w:rFonts w:ascii="方正书宋_GBK" w:eastAsia="方正书宋_GBK"/>
                <w:b/>
              </w:rPr>
            </w:pPr>
            <w:r>
              <w:rPr>
                <w:rFonts w:hint="eastAsia" w:ascii="方正书宋_GBK" w:eastAsia="方正书宋_GBK"/>
                <w:b/>
              </w:rPr>
              <w:t>一般公共预算拨款</w:t>
            </w:r>
          </w:p>
        </w:tc>
        <w:tc>
          <w:tcPr>
            <w:tcW w:w="916" w:type="dxa"/>
            <w:vAlign w:val="center"/>
          </w:tcPr>
          <w:p>
            <w:pPr>
              <w:spacing w:line="300" w:lineRule="exact"/>
              <w:jc w:val="center"/>
              <w:rPr>
                <w:rFonts w:ascii="方正书宋_GBK" w:eastAsia="方正书宋_GBK"/>
                <w:b/>
              </w:rPr>
            </w:pPr>
            <w:r>
              <w:rPr>
                <w:rFonts w:hint="eastAsia" w:ascii="方正书宋_GBK" w:eastAsia="方正书宋_GBK"/>
                <w:b/>
              </w:rPr>
              <w:t>基金预算拨款</w:t>
            </w:r>
          </w:p>
        </w:tc>
        <w:tc>
          <w:tcPr>
            <w:tcW w:w="919" w:type="dxa"/>
            <w:vAlign w:val="center"/>
          </w:tcPr>
          <w:p>
            <w:pPr>
              <w:spacing w:line="300" w:lineRule="exact"/>
              <w:jc w:val="center"/>
              <w:rPr>
                <w:rFonts w:ascii="方正书宋_GBK" w:eastAsia="方正书宋_GBK"/>
                <w:b/>
              </w:rPr>
            </w:pPr>
            <w:r>
              <w:rPr>
                <w:rFonts w:hint="eastAsia" w:ascii="方正书宋_GBK" w:eastAsia="方正书宋_GBK"/>
                <w:b/>
              </w:rPr>
              <w:t>财政专户核拨</w:t>
            </w:r>
          </w:p>
        </w:tc>
        <w:tc>
          <w:tcPr>
            <w:tcW w:w="919" w:type="dxa"/>
            <w:vAlign w:val="center"/>
          </w:tcPr>
          <w:p>
            <w:pPr>
              <w:spacing w:line="300" w:lineRule="exact"/>
              <w:jc w:val="center"/>
              <w:rPr>
                <w:rFonts w:ascii="方正书宋_GBK" w:eastAsia="方正书宋_GBK"/>
                <w:b/>
              </w:rPr>
            </w:pPr>
            <w:r>
              <w:rPr>
                <w:rFonts w:hint="eastAsia" w:ascii="方正书宋_GBK" w:eastAsia="方正书宋_GBK"/>
                <w:b/>
              </w:rPr>
              <w:t>其他来源收入</w:t>
            </w:r>
          </w:p>
        </w:tc>
        <w:tc>
          <w:tcPr>
            <w:tcW w:w="876" w:type="dxa"/>
            <w:vMerge w:val="continue"/>
            <w:vAlign w:val="center"/>
          </w:tcPr>
          <w:p>
            <w:pPr>
              <w:spacing w:line="300" w:lineRule="exact"/>
              <w:jc w:val="left"/>
              <w:outlineLvl w:val="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510" w:hRule="atLeast"/>
          <w:jc w:val="center"/>
        </w:trPr>
        <w:tc>
          <w:tcPr>
            <w:tcW w:w="2401" w:type="dxa"/>
            <w:vAlign w:val="center"/>
          </w:tcPr>
          <w:p>
            <w:pPr>
              <w:spacing w:line="300" w:lineRule="exact"/>
              <w:jc w:val="center"/>
              <w:rPr>
                <w:rFonts w:ascii="方正书宋_GBK" w:eastAsia="方正书宋_GBK"/>
                <w:b/>
              </w:rPr>
            </w:pPr>
            <w:r>
              <w:rPr>
                <w:rFonts w:hint="eastAsia" w:ascii="方正书宋_GBK" w:eastAsia="方正书宋_GBK"/>
                <w:b/>
              </w:rPr>
              <w:t>合　计</w:t>
            </w:r>
          </w:p>
        </w:tc>
        <w:tc>
          <w:tcPr>
            <w:tcW w:w="878" w:type="dxa"/>
            <w:vAlign w:val="center"/>
          </w:tcPr>
          <w:p>
            <w:pPr>
              <w:spacing w:line="300" w:lineRule="exact"/>
              <w:jc w:val="right"/>
              <w:rPr>
                <w:rFonts w:hint="eastAsia" w:ascii="方正书宋_GBK" w:eastAsia="方正书宋_GBK"/>
                <w:b/>
                <w:lang w:val="en-US" w:eastAsia="zh-CN"/>
              </w:rPr>
            </w:pPr>
            <w:r>
              <w:rPr>
                <w:rFonts w:hint="eastAsia" w:ascii="方正书宋_GBK" w:eastAsia="方正书宋_GBK"/>
                <w:b/>
                <w:lang w:val="en-US" w:eastAsia="zh-CN"/>
              </w:rPr>
              <w:t>1.81</w:t>
            </w:r>
          </w:p>
        </w:tc>
        <w:tc>
          <w:tcPr>
            <w:tcW w:w="1290" w:type="dxa"/>
            <w:vAlign w:val="center"/>
          </w:tcPr>
          <w:p>
            <w:pPr>
              <w:spacing w:line="300" w:lineRule="exact"/>
              <w:jc w:val="left"/>
              <w:rPr>
                <w:rFonts w:ascii="方正书宋_GBK" w:eastAsia="方正书宋_GBK"/>
                <w:b/>
              </w:rPr>
            </w:pPr>
          </w:p>
        </w:tc>
        <w:tc>
          <w:tcPr>
            <w:tcW w:w="1335" w:type="dxa"/>
            <w:vAlign w:val="center"/>
          </w:tcPr>
          <w:p>
            <w:pPr>
              <w:spacing w:line="300" w:lineRule="exact"/>
              <w:jc w:val="left"/>
              <w:rPr>
                <w:rFonts w:ascii="方正书宋_GBK" w:eastAsia="方正书宋_GBK"/>
                <w:b/>
              </w:rPr>
            </w:pPr>
          </w:p>
        </w:tc>
        <w:tc>
          <w:tcPr>
            <w:tcW w:w="714" w:type="dxa"/>
            <w:vAlign w:val="center"/>
          </w:tcPr>
          <w:p>
            <w:pPr>
              <w:spacing w:line="300" w:lineRule="exact"/>
              <w:jc w:val="left"/>
              <w:rPr>
                <w:rFonts w:ascii="方正书宋_GBK" w:eastAsia="方正书宋_GBK"/>
                <w:b/>
              </w:rPr>
            </w:pPr>
          </w:p>
        </w:tc>
        <w:tc>
          <w:tcPr>
            <w:tcW w:w="742" w:type="dxa"/>
            <w:vAlign w:val="center"/>
          </w:tcPr>
          <w:p>
            <w:pPr>
              <w:spacing w:line="300" w:lineRule="exact"/>
              <w:jc w:val="right"/>
              <w:rPr>
                <w:rFonts w:ascii="方正书宋_GBK" w:eastAsia="方正书宋_GBK"/>
                <w:b/>
              </w:rPr>
            </w:pPr>
          </w:p>
        </w:tc>
        <w:tc>
          <w:tcPr>
            <w:tcW w:w="859" w:type="dxa"/>
            <w:vAlign w:val="center"/>
          </w:tcPr>
          <w:p>
            <w:pPr>
              <w:spacing w:line="300" w:lineRule="exact"/>
              <w:jc w:val="right"/>
              <w:rPr>
                <w:rFonts w:ascii="方正书宋_GBK" w:eastAsia="方正书宋_GBK"/>
                <w:b/>
              </w:rPr>
            </w:pPr>
          </w:p>
        </w:tc>
        <w:tc>
          <w:tcPr>
            <w:tcW w:w="887" w:type="dxa"/>
            <w:vAlign w:val="center"/>
          </w:tcPr>
          <w:p>
            <w:pPr>
              <w:spacing w:line="300" w:lineRule="exact"/>
              <w:jc w:val="right"/>
              <w:rPr>
                <w:rFonts w:ascii="方正书宋_GBK" w:eastAsia="方正书宋_GBK"/>
                <w:b/>
              </w:rPr>
            </w:pPr>
            <w:r>
              <w:rPr>
                <w:rFonts w:hint="eastAsia" w:ascii="方正书宋_GBK" w:eastAsia="方正书宋_GBK"/>
                <w:b/>
                <w:lang w:val="en-US" w:eastAsia="zh-CN"/>
              </w:rPr>
              <w:t>1.81</w:t>
            </w:r>
          </w:p>
        </w:tc>
        <w:tc>
          <w:tcPr>
            <w:tcW w:w="916" w:type="dxa"/>
            <w:vAlign w:val="center"/>
          </w:tcPr>
          <w:p>
            <w:pPr>
              <w:spacing w:line="300" w:lineRule="exact"/>
              <w:jc w:val="right"/>
              <w:rPr>
                <w:rFonts w:hint="eastAsia" w:ascii="方正书宋_GBK" w:eastAsia="方正书宋_GBK"/>
                <w:b/>
                <w:lang w:val="en-US" w:eastAsia="zh-CN"/>
              </w:rPr>
            </w:pPr>
            <w:r>
              <w:rPr>
                <w:rFonts w:hint="eastAsia" w:ascii="方正书宋_GBK" w:eastAsia="方正书宋_GBK"/>
                <w:b/>
                <w:lang w:val="en-US" w:eastAsia="zh-CN"/>
              </w:rPr>
              <w:t>1.81</w:t>
            </w:r>
          </w:p>
        </w:tc>
        <w:tc>
          <w:tcPr>
            <w:tcW w:w="916" w:type="dxa"/>
            <w:vAlign w:val="center"/>
          </w:tcPr>
          <w:p>
            <w:pPr>
              <w:spacing w:line="300" w:lineRule="exact"/>
              <w:jc w:val="right"/>
              <w:rPr>
                <w:rFonts w:hint="eastAsia" w:ascii="方正书宋_GBK" w:eastAsia="方正书宋_GBK"/>
                <w:b/>
                <w:lang w:val="en-US" w:eastAsia="zh-CN"/>
              </w:rPr>
            </w:pPr>
            <w:r>
              <w:rPr>
                <w:rFonts w:hint="eastAsia" w:ascii="方正书宋_GBK" w:eastAsia="方正书宋_GBK"/>
                <w:b/>
                <w:lang w:val="en-US" w:eastAsia="zh-CN"/>
              </w:rPr>
              <w:t>1.81</w:t>
            </w:r>
          </w:p>
        </w:tc>
        <w:tc>
          <w:tcPr>
            <w:tcW w:w="916" w:type="dxa"/>
            <w:vAlign w:val="center"/>
          </w:tcPr>
          <w:p>
            <w:pPr>
              <w:spacing w:line="300" w:lineRule="exact"/>
              <w:jc w:val="right"/>
              <w:rPr>
                <w:rFonts w:ascii="方正书宋_GBK" w:eastAsia="方正书宋_GBK"/>
                <w:b/>
              </w:rPr>
            </w:pPr>
          </w:p>
        </w:tc>
        <w:tc>
          <w:tcPr>
            <w:tcW w:w="919" w:type="dxa"/>
            <w:vAlign w:val="center"/>
          </w:tcPr>
          <w:p>
            <w:pPr>
              <w:spacing w:line="300" w:lineRule="exact"/>
              <w:jc w:val="right"/>
              <w:rPr>
                <w:rFonts w:ascii="方正书宋_GBK" w:eastAsia="方正书宋_GBK"/>
                <w:b/>
              </w:rPr>
            </w:pPr>
          </w:p>
        </w:tc>
        <w:tc>
          <w:tcPr>
            <w:tcW w:w="919" w:type="dxa"/>
            <w:vAlign w:val="center"/>
          </w:tcPr>
          <w:p>
            <w:pPr>
              <w:spacing w:line="300" w:lineRule="exact"/>
              <w:jc w:val="right"/>
              <w:rPr>
                <w:rFonts w:ascii="方正书宋_GBK" w:eastAsia="方正书宋_GBK"/>
                <w:b/>
              </w:rPr>
            </w:pPr>
          </w:p>
        </w:tc>
        <w:tc>
          <w:tcPr>
            <w:tcW w:w="876" w:type="dxa"/>
            <w:vAlign w:val="center"/>
          </w:tcPr>
          <w:p>
            <w:pPr>
              <w:spacing w:line="300" w:lineRule="exact"/>
              <w:jc w:val="right"/>
              <w:rPr>
                <w:rFonts w:ascii="方正书宋_GBK" w:eastAsia="方正书宋_GBK"/>
                <w:b/>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570" w:hRule="atLeast"/>
          <w:jc w:val="center"/>
        </w:trPr>
        <w:tc>
          <w:tcPr>
            <w:tcW w:w="2401" w:type="dxa"/>
            <w:vAlign w:val="center"/>
          </w:tcPr>
          <w:p>
            <w:pPr>
              <w:spacing w:line="300" w:lineRule="exact"/>
              <w:jc w:val="center"/>
              <w:rPr>
                <w:rFonts w:hint="eastAsia" w:ascii="方正书宋_GBK" w:eastAsia="方正书宋_GBK"/>
                <w:lang w:eastAsia="zh-CN"/>
              </w:rPr>
            </w:pPr>
            <w:r>
              <w:rPr>
                <w:rFonts w:hint="eastAsia" w:ascii="方正书宋_GBK" w:eastAsia="方正书宋_GBK"/>
                <w:lang w:eastAsia="zh-CN"/>
              </w:rPr>
              <w:t>小计</w:t>
            </w:r>
          </w:p>
        </w:tc>
        <w:tc>
          <w:tcPr>
            <w:tcW w:w="878" w:type="dxa"/>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1.81</w:t>
            </w:r>
          </w:p>
        </w:tc>
        <w:tc>
          <w:tcPr>
            <w:tcW w:w="1290" w:type="dxa"/>
            <w:vAlign w:val="center"/>
          </w:tcPr>
          <w:p>
            <w:pPr>
              <w:spacing w:line="300" w:lineRule="exact"/>
              <w:jc w:val="left"/>
              <w:rPr>
                <w:rFonts w:ascii="方正书宋_GBK" w:eastAsia="方正书宋_GBK"/>
              </w:rPr>
            </w:pPr>
          </w:p>
        </w:tc>
        <w:tc>
          <w:tcPr>
            <w:tcW w:w="1335" w:type="dxa"/>
            <w:vAlign w:val="center"/>
          </w:tcPr>
          <w:p>
            <w:pPr>
              <w:spacing w:line="300" w:lineRule="exact"/>
              <w:jc w:val="left"/>
              <w:rPr>
                <w:rFonts w:ascii="方正书宋_GBK" w:eastAsia="方正书宋_GBK"/>
              </w:rPr>
            </w:pPr>
          </w:p>
        </w:tc>
        <w:tc>
          <w:tcPr>
            <w:tcW w:w="714" w:type="dxa"/>
            <w:vAlign w:val="center"/>
          </w:tcPr>
          <w:p>
            <w:pPr>
              <w:spacing w:line="300" w:lineRule="exact"/>
              <w:jc w:val="left"/>
              <w:rPr>
                <w:rFonts w:ascii="方正书宋_GBK" w:eastAsia="方正书宋_GBK"/>
              </w:rPr>
            </w:pPr>
          </w:p>
        </w:tc>
        <w:tc>
          <w:tcPr>
            <w:tcW w:w="742" w:type="dxa"/>
            <w:vAlign w:val="center"/>
          </w:tcPr>
          <w:p>
            <w:pPr>
              <w:spacing w:line="300" w:lineRule="exact"/>
              <w:jc w:val="right"/>
              <w:rPr>
                <w:rFonts w:ascii="方正书宋_GBK" w:eastAsia="方正书宋_GBK"/>
              </w:rPr>
            </w:pPr>
          </w:p>
        </w:tc>
        <w:tc>
          <w:tcPr>
            <w:tcW w:w="859" w:type="dxa"/>
            <w:vAlign w:val="center"/>
          </w:tcPr>
          <w:p>
            <w:pPr>
              <w:spacing w:line="300" w:lineRule="exact"/>
              <w:jc w:val="right"/>
              <w:rPr>
                <w:rFonts w:ascii="方正书宋_GBK" w:eastAsia="方正书宋_GBK"/>
              </w:rPr>
            </w:pPr>
          </w:p>
        </w:tc>
        <w:tc>
          <w:tcPr>
            <w:tcW w:w="887" w:type="dxa"/>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1.81</w:t>
            </w:r>
          </w:p>
        </w:tc>
        <w:tc>
          <w:tcPr>
            <w:tcW w:w="916" w:type="dxa"/>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1.81</w:t>
            </w:r>
          </w:p>
        </w:tc>
        <w:tc>
          <w:tcPr>
            <w:tcW w:w="916" w:type="dxa"/>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1.81</w:t>
            </w:r>
          </w:p>
        </w:tc>
        <w:tc>
          <w:tcPr>
            <w:tcW w:w="916" w:type="dxa"/>
            <w:vAlign w:val="center"/>
          </w:tcPr>
          <w:p>
            <w:pPr>
              <w:spacing w:line="300" w:lineRule="exact"/>
              <w:jc w:val="right"/>
              <w:rPr>
                <w:rFonts w:ascii="方正书宋_GBK" w:eastAsia="方正书宋_GBK"/>
              </w:rPr>
            </w:pPr>
          </w:p>
        </w:tc>
        <w:tc>
          <w:tcPr>
            <w:tcW w:w="919" w:type="dxa"/>
            <w:vAlign w:val="center"/>
          </w:tcPr>
          <w:p>
            <w:pPr>
              <w:spacing w:line="300" w:lineRule="exact"/>
              <w:jc w:val="right"/>
              <w:rPr>
                <w:rFonts w:ascii="方正书宋_GBK" w:eastAsia="方正书宋_GBK"/>
              </w:rPr>
            </w:pPr>
          </w:p>
        </w:tc>
        <w:tc>
          <w:tcPr>
            <w:tcW w:w="919" w:type="dxa"/>
            <w:vAlign w:val="center"/>
          </w:tcPr>
          <w:p>
            <w:pPr>
              <w:spacing w:line="300" w:lineRule="exact"/>
              <w:jc w:val="right"/>
              <w:rPr>
                <w:rFonts w:ascii="方正书宋_GBK" w:eastAsia="方正书宋_GBK"/>
              </w:rPr>
            </w:pPr>
          </w:p>
        </w:tc>
        <w:tc>
          <w:tcPr>
            <w:tcW w:w="876" w:type="dxa"/>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615" w:hRule="atLeast"/>
          <w:jc w:val="center"/>
        </w:trPr>
        <w:tc>
          <w:tcPr>
            <w:tcW w:w="2401"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ascii="方正书宋_GBK" w:eastAsia="方正书宋_GBK"/>
              </w:rPr>
            </w:pPr>
            <w:r>
              <w:rPr>
                <w:rFonts w:hint="eastAsia" w:ascii="方正书宋_GBK" w:eastAsia="方正书宋_GBK"/>
                <w:lang w:eastAsia="zh-CN"/>
              </w:rPr>
              <w:t>办公</w:t>
            </w:r>
            <w:r>
              <w:rPr>
                <w:rFonts w:hint="eastAsia" w:ascii="方正书宋_GBK" w:eastAsia="方正书宋_GBK"/>
              </w:rPr>
              <w:t>费</w:t>
            </w:r>
          </w:p>
        </w:tc>
        <w:tc>
          <w:tcPr>
            <w:tcW w:w="878"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0.96</w:t>
            </w:r>
          </w:p>
        </w:tc>
        <w:tc>
          <w:tcPr>
            <w:tcW w:w="1290"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lang w:eastAsia="zh-CN"/>
              </w:rPr>
            </w:pPr>
            <w:r>
              <w:rPr>
                <w:rFonts w:hint="eastAsia" w:ascii="方正书宋_GBK" w:eastAsia="方正书宋_GBK"/>
                <w:lang w:eastAsia="zh-CN"/>
              </w:rPr>
              <w:t>计算机设备</w:t>
            </w:r>
          </w:p>
        </w:tc>
        <w:tc>
          <w:tcPr>
            <w:tcW w:w="1335"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ascii="方正书宋_GBK" w:eastAsia="方正书宋_GBK"/>
              </w:rPr>
            </w:pPr>
            <w:r>
              <w:rPr>
                <w:rFonts w:ascii="方正书宋_GBK" w:eastAsia="方正书宋_GBK"/>
              </w:rPr>
              <w:t>A020101</w:t>
            </w:r>
          </w:p>
        </w:tc>
        <w:tc>
          <w:tcPr>
            <w:tcW w:w="714"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lang w:val="en-US" w:eastAsia="zh-CN"/>
              </w:rPr>
            </w:pPr>
            <w:r>
              <w:rPr>
                <w:rFonts w:hint="eastAsia" w:ascii="方正书宋_GBK" w:eastAsia="方正书宋_GBK"/>
                <w:lang w:val="en-US" w:eastAsia="zh-CN"/>
              </w:rPr>
              <w:t>台</w:t>
            </w:r>
          </w:p>
        </w:tc>
        <w:tc>
          <w:tcPr>
            <w:tcW w:w="742"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2</w:t>
            </w:r>
          </w:p>
        </w:tc>
        <w:tc>
          <w:tcPr>
            <w:tcW w:w="85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0.48</w:t>
            </w:r>
          </w:p>
        </w:tc>
        <w:tc>
          <w:tcPr>
            <w:tcW w:w="887"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r>
              <w:rPr>
                <w:rFonts w:hint="eastAsia" w:ascii="方正书宋_GBK" w:eastAsia="方正书宋_GBK"/>
                <w:lang w:val="en-US" w:eastAsia="zh-CN"/>
              </w:rPr>
              <w:t>0.96</w:t>
            </w: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0.96</w:t>
            </w: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0.96</w:t>
            </w: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c>
          <w:tcPr>
            <w:tcW w:w="91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c>
          <w:tcPr>
            <w:tcW w:w="91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c>
          <w:tcPr>
            <w:tcW w:w="87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540" w:hRule="atLeast"/>
          <w:jc w:val="center"/>
        </w:trPr>
        <w:tc>
          <w:tcPr>
            <w:tcW w:w="2401"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rPr>
            </w:pPr>
            <w:r>
              <w:rPr>
                <w:rFonts w:hint="eastAsia" w:ascii="方正书宋_GBK" w:eastAsia="方正书宋_GBK"/>
                <w:lang w:eastAsia="zh-CN"/>
              </w:rPr>
              <w:t>办公</w:t>
            </w:r>
            <w:r>
              <w:rPr>
                <w:rFonts w:hint="eastAsia" w:ascii="方正书宋_GBK" w:eastAsia="方正书宋_GBK"/>
              </w:rPr>
              <w:t>费</w:t>
            </w:r>
          </w:p>
        </w:tc>
        <w:tc>
          <w:tcPr>
            <w:tcW w:w="878"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0.20</w:t>
            </w:r>
          </w:p>
        </w:tc>
        <w:tc>
          <w:tcPr>
            <w:tcW w:w="1290"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lang w:eastAsia="zh-CN"/>
              </w:rPr>
            </w:pPr>
            <w:r>
              <w:rPr>
                <w:rFonts w:hint="eastAsia" w:ascii="方正书宋_GBK" w:eastAsia="方正书宋_GBK"/>
                <w:lang w:eastAsia="zh-CN"/>
              </w:rPr>
              <w:t>家具用具</w:t>
            </w:r>
          </w:p>
        </w:tc>
        <w:tc>
          <w:tcPr>
            <w:tcW w:w="1335"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lang w:val="en-US" w:eastAsia="zh-CN"/>
              </w:rPr>
            </w:pPr>
            <w:r>
              <w:rPr>
                <w:rFonts w:ascii="方正书宋_GBK" w:eastAsia="方正书宋_GBK"/>
              </w:rPr>
              <w:t>A</w:t>
            </w:r>
            <w:r>
              <w:rPr>
                <w:rFonts w:hint="eastAsia" w:ascii="方正书宋_GBK" w:eastAsia="方正书宋_GBK"/>
                <w:lang w:val="en-US" w:eastAsia="zh-CN"/>
              </w:rPr>
              <w:t>06</w:t>
            </w:r>
          </w:p>
        </w:tc>
        <w:tc>
          <w:tcPr>
            <w:tcW w:w="714"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lang w:val="en-US" w:eastAsia="zh-CN"/>
              </w:rPr>
            </w:pPr>
            <w:r>
              <w:rPr>
                <w:rFonts w:hint="eastAsia" w:ascii="方正书宋_GBK" w:eastAsia="方正书宋_GBK"/>
                <w:lang w:val="en-US" w:eastAsia="zh-CN"/>
              </w:rPr>
              <w:t>组</w:t>
            </w:r>
          </w:p>
        </w:tc>
        <w:tc>
          <w:tcPr>
            <w:tcW w:w="742"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1</w:t>
            </w:r>
          </w:p>
        </w:tc>
        <w:tc>
          <w:tcPr>
            <w:tcW w:w="85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0.20</w:t>
            </w:r>
          </w:p>
        </w:tc>
        <w:tc>
          <w:tcPr>
            <w:tcW w:w="887"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0.20</w:t>
            </w: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0.20</w:t>
            </w: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0.20</w:t>
            </w: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c>
          <w:tcPr>
            <w:tcW w:w="91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c>
          <w:tcPr>
            <w:tcW w:w="91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c>
          <w:tcPr>
            <w:tcW w:w="87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555" w:hRule="atLeast"/>
          <w:jc w:val="center"/>
        </w:trPr>
        <w:tc>
          <w:tcPr>
            <w:tcW w:w="2401"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rPr>
            </w:pPr>
            <w:r>
              <w:rPr>
                <w:rFonts w:hint="eastAsia" w:ascii="方正书宋_GBK" w:eastAsia="方正书宋_GBK"/>
                <w:lang w:eastAsia="zh-CN"/>
              </w:rPr>
              <w:t>办公</w:t>
            </w:r>
            <w:r>
              <w:rPr>
                <w:rFonts w:hint="eastAsia" w:ascii="方正书宋_GBK" w:eastAsia="方正书宋_GBK"/>
              </w:rPr>
              <w:t>费</w:t>
            </w:r>
          </w:p>
        </w:tc>
        <w:tc>
          <w:tcPr>
            <w:tcW w:w="878"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0.40</w:t>
            </w:r>
          </w:p>
        </w:tc>
        <w:tc>
          <w:tcPr>
            <w:tcW w:w="1290"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lang w:eastAsia="zh-CN"/>
              </w:rPr>
            </w:pPr>
            <w:r>
              <w:rPr>
                <w:rFonts w:hint="eastAsia" w:ascii="方正书宋_GBK" w:eastAsia="方正书宋_GBK"/>
                <w:lang w:eastAsia="zh-CN"/>
              </w:rPr>
              <w:t>家具用具</w:t>
            </w:r>
          </w:p>
        </w:tc>
        <w:tc>
          <w:tcPr>
            <w:tcW w:w="1335"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lang w:val="en-US" w:eastAsia="zh-CN"/>
              </w:rPr>
            </w:pPr>
            <w:r>
              <w:rPr>
                <w:rFonts w:hint="eastAsia" w:ascii="方正书宋_GBK" w:eastAsia="方正书宋_GBK"/>
                <w:lang w:val="en-US" w:eastAsia="zh-CN"/>
              </w:rPr>
              <w:t>A06</w:t>
            </w:r>
          </w:p>
        </w:tc>
        <w:tc>
          <w:tcPr>
            <w:tcW w:w="714"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lang w:eastAsia="zh-CN"/>
              </w:rPr>
            </w:pPr>
            <w:r>
              <w:rPr>
                <w:rFonts w:hint="eastAsia" w:ascii="方正书宋_GBK" w:eastAsia="方正书宋_GBK"/>
                <w:lang w:eastAsia="zh-CN"/>
              </w:rPr>
              <w:t>套</w:t>
            </w:r>
          </w:p>
        </w:tc>
        <w:tc>
          <w:tcPr>
            <w:tcW w:w="742"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2</w:t>
            </w:r>
          </w:p>
        </w:tc>
        <w:tc>
          <w:tcPr>
            <w:tcW w:w="85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0.20</w:t>
            </w:r>
          </w:p>
        </w:tc>
        <w:tc>
          <w:tcPr>
            <w:tcW w:w="887"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0.40</w:t>
            </w: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0.40</w:t>
            </w: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0.40</w:t>
            </w: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c>
          <w:tcPr>
            <w:tcW w:w="91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c>
          <w:tcPr>
            <w:tcW w:w="91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c>
          <w:tcPr>
            <w:tcW w:w="87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690" w:hRule="atLeast"/>
          <w:jc w:val="center"/>
        </w:trPr>
        <w:tc>
          <w:tcPr>
            <w:tcW w:w="2401"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lang w:eastAsia="zh-CN"/>
              </w:rPr>
            </w:pPr>
            <w:r>
              <w:rPr>
                <w:rFonts w:hint="eastAsia" w:ascii="方正书宋_GBK" w:eastAsia="方正书宋_GBK"/>
                <w:lang w:eastAsia="zh-CN"/>
              </w:rPr>
              <w:t>办公费</w:t>
            </w:r>
          </w:p>
        </w:tc>
        <w:tc>
          <w:tcPr>
            <w:tcW w:w="878"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0.25</w:t>
            </w:r>
          </w:p>
        </w:tc>
        <w:tc>
          <w:tcPr>
            <w:tcW w:w="1290"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lang w:eastAsia="zh-CN"/>
              </w:rPr>
            </w:pPr>
            <w:r>
              <w:rPr>
                <w:rFonts w:hint="eastAsia" w:ascii="方正书宋_GBK" w:eastAsia="方正书宋_GBK"/>
                <w:lang w:eastAsia="zh-CN"/>
              </w:rPr>
              <w:t>打印设备</w:t>
            </w:r>
          </w:p>
        </w:tc>
        <w:tc>
          <w:tcPr>
            <w:tcW w:w="1335"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ascii="方正书宋_GBK" w:eastAsia="方正书宋_GBK"/>
              </w:rPr>
            </w:pPr>
            <w:r>
              <w:rPr>
                <w:rFonts w:ascii="方正书宋_GBK" w:eastAsia="方正书宋_GBK"/>
              </w:rPr>
              <w:t>A02010601</w:t>
            </w:r>
          </w:p>
        </w:tc>
        <w:tc>
          <w:tcPr>
            <w:tcW w:w="714"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left"/>
              <w:rPr>
                <w:rFonts w:hint="eastAsia" w:ascii="方正书宋_GBK" w:eastAsia="方正书宋_GBK"/>
                <w:lang w:eastAsia="zh-CN"/>
              </w:rPr>
            </w:pPr>
            <w:r>
              <w:rPr>
                <w:rFonts w:hint="eastAsia" w:ascii="方正书宋_GBK" w:eastAsia="方正书宋_GBK"/>
                <w:lang w:eastAsia="zh-CN"/>
              </w:rPr>
              <w:t>台</w:t>
            </w:r>
          </w:p>
        </w:tc>
        <w:tc>
          <w:tcPr>
            <w:tcW w:w="742"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1</w:t>
            </w:r>
          </w:p>
        </w:tc>
        <w:tc>
          <w:tcPr>
            <w:tcW w:w="85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0.25</w:t>
            </w:r>
          </w:p>
        </w:tc>
        <w:tc>
          <w:tcPr>
            <w:tcW w:w="887"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0.25</w:t>
            </w: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0.25</w:t>
            </w: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hint="eastAsia" w:ascii="方正书宋_GBK" w:eastAsia="方正书宋_GBK"/>
                <w:lang w:val="en-US" w:eastAsia="zh-CN"/>
              </w:rPr>
            </w:pPr>
            <w:r>
              <w:rPr>
                <w:rFonts w:hint="eastAsia" w:ascii="方正书宋_GBK" w:eastAsia="方正书宋_GBK"/>
                <w:lang w:val="en-US" w:eastAsia="zh-CN"/>
              </w:rPr>
              <w:t>0.25</w:t>
            </w:r>
          </w:p>
        </w:tc>
        <w:tc>
          <w:tcPr>
            <w:tcW w:w="91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c>
          <w:tcPr>
            <w:tcW w:w="91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c>
          <w:tcPr>
            <w:tcW w:w="919"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c>
          <w:tcPr>
            <w:tcW w:w="876" w:type="dxa"/>
            <w:tcBorders>
              <w:top w:val="single" w:color="000000" w:sz="6" w:space="0"/>
              <w:left w:val="single" w:color="000000" w:sz="6" w:space="0"/>
              <w:bottom w:val="single" w:color="000000" w:sz="6" w:space="0"/>
              <w:right w:val="single" w:color="000000" w:sz="6" w:space="0"/>
            </w:tcBorders>
            <w:vAlign w:val="center"/>
          </w:tcPr>
          <w:p>
            <w:pPr>
              <w:spacing w:line="300" w:lineRule="exact"/>
              <w:jc w:val="right"/>
              <w:rPr>
                <w:rFonts w:ascii="方正书宋_GBK" w:eastAsia="方正书宋_GBK"/>
              </w:rPr>
            </w:pPr>
          </w:p>
        </w:tc>
      </w:tr>
      <w:bookmarkEnd w:id="2"/>
    </w:tbl>
    <w:p>
      <w:pPr>
        <w:autoSpaceDE w:val="0"/>
        <w:autoSpaceDN w:val="0"/>
        <w:adjustRightInd w:val="0"/>
        <w:ind w:left="198" w:firstLine="640" w:firstLineChars="200"/>
        <w:jc w:val="left"/>
        <w:rPr>
          <w:rFonts w:hint="eastAsia" w:ascii="黑体" w:hAnsi="黑体" w:eastAsia="黑体" w:cs="Times New Roman"/>
          <w:sz w:val="32"/>
          <w:szCs w:val="32"/>
        </w:rPr>
      </w:pPr>
    </w:p>
    <w:p>
      <w:pPr>
        <w:autoSpaceDE w:val="0"/>
        <w:autoSpaceDN w:val="0"/>
        <w:adjustRightInd w:val="0"/>
        <w:ind w:left="198" w:firstLine="640" w:firstLineChars="200"/>
        <w:jc w:val="left"/>
        <w:rPr>
          <w:rFonts w:ascii="黑体" w:hAnsi="黑体" w:eastAsia="黑体" w:cs="Times New Roman"/>
          <w:sz w:val="32"/>
          <w:szCs w:val="32"/>
        </w:rPr>
      </w:pPr>
      <w:r>
        <w:rPr>
          <w:rFonts w:hint="eastAsia" w:ascii="黑体" w:hAnsi="黑体" w:eastAsia="黑体" w:cs="Times New Roman"/>
          <w:sz w:val="32"/>
          <w:szCs w:val="32"/>
        </w:rPr>
        <w:t>七、国有资产信息</w:t>
      </w:r>
    </w:p>
    <w:p>
      <w:pPr>
        <w:ind w:firstLine="640"/>
        <w:rPr>
          <w:rFonts w:ascii="仿宋_GB2312" w:hAnsi="黑体" w:eastAsia="仿宋_GB2312" w:cs="Times New Roman"/>
          <w:sz w:val="32"/>
          <w:szCs w:val="32"/>
        </w:rPr>
      </w:pPr>
      <w:r>
        <w:rPr>
          <w:rFonts w:hint="eastAsia" w:ascii="仿宋_GB2312" w:hAnsi="黑体" w:eastAsia="仿宋_GB2312" w:cs="Times New Roman"/>
          <w:sz w:val="32"/>
          <w:szCs w:val="32"/>
        </w:rPr>
        <w:t>上年末固定资产金额为34.</w:t>
      </w:r>
      <w:r>
        <w:rPr>
          <w:rFonts w:hint="eastAsia" w:ascii="仿宋_GB2312" w:hAnsi="黑体" w:eastAsia="仿宋_GB2312" w:cs="Times New Roman"/>
          <w:sz w:val="32"/>
          <w:szCs w:val="32"/>
          <w:lang w:val="en-US" w:eastAsia="zh-CN"/>
        </w:rPr>
        <w:t>96</w:t>
      </w:r>
      <w:r>
        <w:rPr>
          <w:rFonts w:hint="eastAsia" w:ascii="仿宋_GB2312" w:hAnsi="黑体" w:eastAsia="仿宋_GB2312" w:cs="Times New Roman"/>
          <w:sz w:val="32"/>
          <w:szCs w:val="32"/>
        </w:rPr>
        <w:t>万元，主要包括通用设备和家具用具装具动植物（详见下表）。本年度拟购置固定资产主要为计算机、打印机、</w:t>
      </w:r>
      <w:r>
        <w:rPr>
          <w:rFonts w:hint="eastAsia" w:ascii="仿宋_GB2312" w:hAnsi="黑体" w:eastAsia="仿宋_GB2312" w:cs="Times New Roman"/>
          <w:sz w:val="32"/>
          <w:szCs w:val="32"/>
          <w:lang w:eastAsia="zh-CN"/>
        </w:rPr>
        <w:t>沙发</w:t>
      </w:r>
      <w:r>
        <w:rPr>
          <w:rFonts w:hint="eastAsia" w:ascii="仿宋_GB2312" w:hAnsi="黑体" w:eastAsia="仿宋_GB2312" w:cs="Times New Roman"/>
          <w:sz w:val="32"/>
          <w:szCs w:val="32"/>
        </w:rPr>
        <w:t>等，共计</w:t>
      </w:r>
      <w:r>
        <w:rPr>
          <w:rFonts w:hint="eastAsia" w:ascii="仿宋_GB2312" w:hAnsi="黑体" w:eastAsia="仿宋_GB2312" w:cs="Times New Roman"/>
          <w:color w:val="auto"/>
          <w:sz w:val="32"/>
          <w:szCs w:val="32"/>
          <w:lang w:val="en-US" w:eastAsia="zh-CN"/>
        </w:rPr>
        <w:t>1.81</w:t>
      </w:r>
      <w:r>
        <w:rPr>
          <w:rFonts w:hint="eastAsia" w:ascii="仿宋_GB2312" w:hAnsi="黑体" w:eastAsia="仿宋_GB2312" w:cs="Times New Roman"/>
          <w:sz w:val="32"/>
          <w:szCs w:val="32"/>
        </w:rPr>
        <w:t>万元，均是20万元以下的设备。本年预算拟购置的固定资产为</w:t>
      </w:r>
      <w:r>
        <w:rPr>
          <w:rFonts w:hint="eastAsia" w:ascii="仿宋_GB2312" w:hAnsi="黑体" w:eastAsia="仿宋_GB2312" w:cs="Times New Roman"/>
          <w:color w:val="auto"/>
          <w:sz w:val="32"/>
          <w:szCs w:val="32"/>
        </w:rPr>
        <w:t>其他固定资产</w:t>
      </w:r>
      <w:r>
        <w:rPr>
          <w:rFonts w:hint="eastAsia" w:ascii="仿宋_GB2312" w:hAnsi="黑体" w:eastAsia="仿宋_GB2312" w:cs="Times New Roman"/>
          <w:sz w:val="32"/>
          <w:szCs w:val="32"/>
        </w:rPr>
        <w:t>，共计</w:t>
      </w:r>
      <w:r>
        <w:rPr>
          <w:rFonts w:hint="eastAsia" w:ascii="仿宋_GB2312" w:hAnsi="黑体" w:eastAsia="仿宋_GB2312" w:cs="Times New Roman"/>
          <w:color w:val="auto"/>
          <w:sz w:val="32"/>
          <w:szCs w:val="32"/>
          <w:lang w:val="en-US" w:eastAsia="zh-CN"/>
        </w:rPr>
        <w:t>1.81</w:t>
      </w:r>
      <w:r>
        <w:rPr>
          <w:rFonts w:hint="eastAsia" w:ascii="仿宋_GB2312" w:hAnsi="黑体" w:eastAsia="仿宋_GB2312" w:cs="Times New Roman"/>
          <w:sz w:val="32"/>
          <w:szCs w:val="32"/>
        </w:rPr>
        <w:t>万元,已列入政府采购预算表。</w:t>
      </w:r>
    </w:p>
    <w:tbl>
      <w:tblPr>
        <w:tblStyle w:val="7"/>
        <w:tblW w:w="13482" w:type="dxa"/>
        <w:tblInd w:w="93" w:type="dxa"/>
        <w:tblLayout w:type="fixed"/>
        <w:tblCellMar>
          <w:top w:w="0" w:type="dxa"/>
          <w:left w:w="108" w:type="dxa"/>
          <w:bottom w:w="0" w:type="dxa"/>
          <w:right w:w="108" w:type="dxa"/>
        </w:tblCellMar>
      </w:tblPr>
      <w:tblGrid>
        <w:gridCol w:w="5224"/>
        <w:gridCol w:w="3155"/>
        <w:gridCol w:w="5103"/>
      </w:tblGrid>
      <w:tr>
        <w:tblPrEx>
          <w:tblLayout w:type="fixed"/>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承德市社科联固定资产占用情况表</w:t>
            </w:r>
          </w:p>
        </w:tc>
      </w:tr>
      <w:tr>
        <w:tblPrEx>
          <w:tblLayout w:type="fixed"/>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vAlign w:val="center"/>
          </w:tcPr>
          <w:p>
            <w:pPr>
              <w:widowControl/>
              <w:jc w:val="left"/>
              <w:rPr>
                <w:rFonts w:ascii="Times New Roman" w:hAnsi="Times New Roman" w:eastAsia="仿宋" w:cs="Times New Roman"/>
                <w:kern w:val="0"/>
                <w:sz w:val="22"/>
              </w:rPr>
            </w:pPr>
            <w:r>
              <w:rPr>
                <w:rFonts w:ascii="Times New Roman" w:hAnsi="Times New Roman" w:eastAsia="仿宋" w:cs="Times New Roman"/>
                <w:kern w:val="0"/>
                <w:sz w:val="22"/>
              </w:rPr>
              <w:t>编制部门：</w:t>
            </w:r>
            <w:r>
              <w:rPr>
                <w:rFonts w:hint="eastAsia" w:ascii="Times New Roman" w:hAnsi="Times New Roman" w:eastAsia="仿宋" w:cs="Times New Roman"/>
                <w:kern w:val="0"/>
                <w:sz w:val="22"/>
              </w:rPr>
              <w:t>承德市社会科学界联合会</w:t>
            </w:r>
          </w:p>
        </w:tc>
        <w:tc>
          <w:tcPr>
            <w:tcW w:w="5103" w:type="dxa"/>
            <w:tcBorders>
              <w:top w:val="nil"/>
              <w:left w:val="nil"/>
              <w:bottom w:val="nil"/>
              <w:right w:val="nil"/>
            </w:tcBorders>
            <w:vAlign w:val="center"/>
          </w:tcPr>
          <w:p>
            <w:pPr>
              <w:widowControl/>
              <w:ind w:firstLine="1320" w:firstLineChars="600"/>
              <w:jc w:val="left"/>
              <w:rPr>
                <w:rFonts w:ascii="Times New Roman" w:hAnsi="Times New Roman" w:eastAsia="仿宋" w:cs="Times New Roman"/>
                <w:kern w:val="0"/>
                <w:sz w:val="22"/>
              </w:rPr>
            </w:pPr>
            <w:r>
              <w:rPr>
                <w:rFonts w:ascii="Times New Roman" w:hAnsi="Times New Roman" w:eastAsia="仿宋" w:cs="Times New Roman"/>
                <w:kern w:val="0"/>
                <w:sz w:val="22"/>
              </w:rPr>
              <w:t>截止时间：201</w:t>
            </w:r>
            <w:r>
              <w:rPr>
                <w:rFonts w:hint="eastAsia" w:ascii="Times New Roman" w:hAnsi="Times New Roman" w:eastAsia="仿宋" w:cs="Times New Roman"/>
                <w:kern w:val="0"/>
                <w:sz w:val="22"/>
                <w:lang w:val="en-US" w:eastAsia="zh-CN"/>
              </w:rPr>
              <w:t>8</w:t>
            </w:r>
            <w:r>
              <w:rPr>
                <w:rFonts w:ascii="Times New Roman" w:hAnsi="Times New Roman" w:eastAsia="仿宋" w:cs="Times New Roman"/>
                <w:kern w:val="0"/>
                <w:sz w:val="22"/>
              </w:rPr>
              <w:t>年12月31日</w:t>
            </w:r>
          </w:p>
        </w:tc>
      </w:tr>
      <w:tr>
        <w:tblPrEx>
          <w:tblLayout w:type="fixed"/>
          <w:tblCellMar>
            <w:top w:w="0" w:type="dxa"/>
            <w:left w:w="108" w:type="dxa"/>
            <w:bottom w:w="0" w:type="dxa"/>
            <w:right w:w="108" w:type="dxa"/>
          </w:tblCellMar>
        </w:tblPrEx>
        <w:trPr>
          <w:trHeight w:val="645" w:hRule="atLeast"/>
        </w:trPr>
        <w:tc>
          <w:tcPr>
            <w:tcW w:w="522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2"/>
              </w:rPr>
            </w:pPr>
            <w:r>
              <w:rPr>
                <w:rFonts w:hint="eastAsia" w:ascii="宋体" w:hAnsi="宋体" w:cs="宋体"/>
                <w:b/>
                <w:bCs/>
                <w:kern w:val="0"/>
                <w:sz w:val="22"/>
              </w:rPr>
              <w:t>项目</w:t>
            </w:r>
          </w:p>
        </w:tc>
        <w:tc>
          <w:tcPr>
            <w:tcW w:w="315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rPr>
            </w:pPr>
            <w:r>
              <w:rPr>
                <w:rFonts w:hint="eastAsia" w:ascii="宋体" w:hAnsi="宋体" w:cs="宋体"/>
                <w:b/>
                <w:bCs/>
                <w:kern w:val="0"/>
                <w:sz w:val="22"/>
              </w:rPr>
              <w:t>数量</w:t>
            </w:r>
          </w:p>
        </w:tc>
        <w:tc>
          <w:tcPr>
            <w:tcW w:w="510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2"/>
              </w:rPr>
            </w:pPr>
            <w:r>
              <w:rPr>
                <w:rFonts w:hint="eastAsia" w:ascii="宋体" w:hAnsi="宋体" w:cs="宋体"/>
                <w:b/>
                <w:bCs/>
                <w:kern w:val="0"/>
                <w:sz w:val="22"/>
              </w:rPr>
              <w:t>价值（金额单位：万元）</w:t>
            </w:r>
          </w:p>
        </w:tc>
      </w:tr>
      <w:tr>
        <w:tblPrEx>
          <w:tblLayout w:type="fixed"/>
          <w:tblCellMar>
            <w:top w:w="0" w:type="dxa"/>
            <w:left w:w="108" w:type="dxa"/>
            <w:bottom w:w="0" w:type="dxa"/>
            <w:right w:w="108" w:type="dxa"/>
          </w:tblCellMar>
        </w:tblPrEx>
        <w:trPr>
          <w:trHeight w:val="555" w:hRule="atLeast"/>
        </w:trPr>
        <w:tc>
          <w:tcPr>
            <w:tcW w:w="5224" w:type="dxa"/>
            <w:tcBorders>
              <w:top w:val="nil"/>
              <w:left w:val="single" w:color="auto" w:sz="4" w:space="0"/>
              <w:bottom w:val="single" w:color="auto" w:sz="4" w:space="0"/>
              <w:right w:val="single" w:color="auto" w:sz="4" w:space="0"/>
            </w:tcBorders>
            <w:vAlign w:val="center"/>
          </w:tcPr>
          <w:p>
            <w:pPr>
              <w:widowControl/>
              <w:jc w:val="center"/>
              <w:rPr>
                <w:rFonts w:ascii="Times New Roman" w:hAnsi="Times New Roman" w:eastAsia="仿宋" w:cs="Times New Roman"/>
                <w:kern w:val="0"/>
                <w:sz w:val="22"/>
              </w:rPr>
            </w:pPr>
            <w:r>
              <w:rPr>
                <w:rFonts w:ascii="Times New Roman" w:hAnsi="Times New Roman" w:eastAsia="仿宋" w:cs="Times New Roman"/>
                <w:kern w:val="0"/>
                <w:sz w:val="22"/>
              </w:rPr>
              <w:t>资产总额</w:t>
            </w:r>
          </w:p>
        </w:tc>
        <w:tc>
          <w:tcPr>
            <w:tcW w:w="3155" w:type="dxa"/>
            <w:tcBorders>
              <w:top w:val="nil"/>
              <w:left w:val="nil"/>
              <w:bottom w:val="single" w:color="auto" w:sz="4" w:space="0"/>
              <w:right w:val="single" w:color="auto" w:sz="4" w:space="0"/>
            </w:tcBorders>
            <w:vAlign w:val="center"/>
          </w:tcPr>
          <w:p>
            <w:pPr>
              <w:widowControl/>
              <w:jc w:val="center"/>
              <w:rPr>
                <w:rFonts w:hint="eastAsia" w:ascii="Times New Roman" w:hAnsi="Times New Roman" w:eastAsia="仿宋" w:cs="Times New Roman"/>
                <w:kern w:val="0"/>
                <w:sz w:val="22"/>
                <w:lang w:eastAsia="zh-CN"/>
              </w:rPr>
            </w:pPr>
            <w:r>
              <w:rPr>
                <w:rFonts w:hint="eastAsia" w:ascii="Times New Roman" w:hAnsi="Times New Roman" w:eastAsia="仿宋" w:cs="Times New Roman"/>
                <w:kern w:val="0"/>
                <w:sz w:val="22"/>
              </w:rPr>
              <w:t>7</w:t>
            </w:r>
            <w:r>
              <w:rPr>
                <w:rFonts w:hint="eastAsia" w:ascii="Times New Roman" w:hAnsi="Times New Roman" w:eastAsia="仿宋" w:cs="Times New Roman"/>
                <w:kern w:val="0"/>
                <w:sz w:val="22"/>
                <w:lang w:val="en-US" w:eastAsia="zh-CN"/>
              </w:rPr>
              <w:t>4</w:t>
            </w:r>
          </w:p>
        </w:tc>
        <w:tc>
          <w:tcPr>
            <w:tcW w:w="5103" w:type="dxa"/>
            <w:tcBorders>
              <w:top w:val="nil"/>
              <w:left w:val="nil"/>
              <w:bottom w:val="single" w:color="auto" w:sz="4" w:space="0"/>
              <w:right w:val="single" w:color="auto" w:sz="4" w:space="0"/>
            </w:tcBorders>
            <w:vAlign w:val="center"/>
          </w:tcPr>
          <w:p>
            <w:pPr>
              <w:widowControl/>
              <w:jc w:val="center"/>
              <w:rPr>
                <w:rFonts w:hint="eastAsia" w:ascii="Times New Roman" w:hAnsi="Times New Roman" w:eastAsia="仿宋" w:cs="Times New Roman"/>
                <w:kern w:val="0"/>
                <w:sz w:val="22"/>
                <w:lang w:val="en-US" w:eastAsia="zh-CN"/>
              </w:rPr>
            </w:pPr>
            <w:r>
              <w:rPr>
                <w:rFonts w:hint="eastAsia" w:ascii="Times New Roman" w:hAnsi="Times New Roman" w:eastAsia="仿宋" w:cs="Times New Roman"/>
                <w:kern w:val="0"/>
                <w:sz w:val="22"/>
              </w:rPr>
              <w:t>34.</w:t>
            </w:r>
            <w:r>
              <w:rPr>
                <w:rFonts w:hint="eastAsia" w:ascii="Times New Roman" w:hAnsi="Times New Roman" w:eastAsia="仿宋" w:cs="Times New Roman"/>
                <w:kern w:val="0"/>
                <w:sz w:val="22"/>
                <w:lang w:val="en-US" w:eastAsia="zh-CN"/>
              </w:rPr>
              <w:t>96</w:t>
            </w:r>
          </w:p>
        </w:tc>
      </w:tr>
      <w:tr>
        <w:tblPrEx>
          <w:tblLayout w:type="fixed"/>
          <w:tblCellMar>
            <w:top w:w="0" w:type="dxa"/>
            <w:left w:w="108" w:type="dxa"/>
            <w:bottom w:w="0" w:type="dxa"/>
            <w:right w:w="108" w:type="dxa"/>
          </w:tblCellMar>
        </w:tblPrEx>
        <w:trPr>
          <w:trHeight w:val="585" w:hRule="atLeast"/>
        </w:trPr>
        <w:tc>
          <w:tcPr>
            <w:tcW w:w="522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 w:cs="Times New Roman"/>
                <w:kern w:val="0"/>
                <w:sz w:val="22"/>
              </w:rPr>
            </w:pPr>
            <w:r>
              <w:rPr>
                <w:rFonts w:ascii="Times New Roman" w:hAnsi="Times New Roman" w:eastAsia="仿宋" w:cs="Times New Roman"/>
                <w:kern w:val="0"/>
                <w:sz w:val="22"/>
              </w:rPr>
              <w:t>1、房屋（平方米）</w:t>
            </w:r>
          </w:p>
        </w:tc>
        <w:tc>
          <w:tcPr>
            <w:tcW w:w="3155" w:type="dxa"/>
            <w:tcBorders>
              <w:top w:val="nil"/>
              <w:left w:val="nil"/>
              <w:bottom w:val="single" w:color="auto" w:sz="4" w:space="0"/>
              <w:right w:val="single" w:color="auto" w:sz="4" w:space="0"/>
            </w:tcBorders>
            <w:vAlign w:val="center"/>
          </w:tcPr>
          <w:p>
            <w:pPr>
              <w:widowControl/>
              <w:jc w:val="center"/>
              <w:rPr>
                <w:rFonts w:ascii="Times New Roman" w:hAnsi="Times New Roman" w:eastAsia="仿宋" w:cs="Times New Roman"/>
                <w:kern w:val="0"/>
                <w:sz w:val="22"/>
              </w:rPr>
            </w:pPr>
            <w:r>
              <w:rPr>
                <w:rFonts w:hint="eastAsia" w:ascii="Times New Roman" w:hAnsi="Times New Roman" w:eastAsia="仿宋" w:cs="Times New Roman"/>
                <w:kern w:val="0"/>
                <w:sz w:val="22"/>
              </w:rPr>
              <w:t>0</w:t>
            </w:r>
          </w:p>
        </w:tc>
        <w:tc>
          <w:tcPr>
            <w:tcW w:w="5103" w:type="dxa"/>
            <w:tcBorders>
              <w:top w:val="nil"/>
              <w:left w:val="nil"/>
              <w:bottom w:val="single" w:color="auto" w:sz="4" w:space="0"/>
              <w:right w:val="single" w:color="auto" w:sz="4" w:space="0"/>
            </w:tcBorders>
            <w:vAlign w:val="center"/>
          </w:tcPr>
          <w:p>
            <w:pPr>
              <w:widowControl/>
              <w:jc w:val="center"/>
              <w:rPr>
                <w:rFonts w:ascii="Times New Roman" w:hAnsi="Times New Roman" w:eastAsia="仿宋" w:cs="Times New Roman"/>
                <w:kern w:val="0"/>
                <w:sz w:val="22"/>
              </w:rPr>
            </w:pPr>
            <w:r>
              <w:rPr>
                <w:rFonts w:hint="eastAsia" w:ascii="Times New Roman" w:hAnsi="Times New Roman" w:eastAsia="仿宋" w:cs="Times New Roman"/>
                <w:kern w:val="0"/>
                <w:sz w:val="22"/>
              </w:rPr>
              <w:t>0</w:t>
            </w:r>
          </w:p>
        </w:tc>
      </w:tr>
      <w:tr>
        <w:tblPrEx>
          <w:tblLayout w:type="fixed"/>
          <w:tblCellMar>
            <w:top w:w="0" w:type="dxa"/>
            <w:left w:w="108" w:type="dxa"/>
            <w:bottom w:w="0" w:type="dxa"/>
            <w:right w:w="108" w:type="dxa"/>
          </w:tblCellMar>
        </w:tblPrEx>
        <w:trPr>
          <w:trHeight w:val="540" w:hRule="atLeast"/>
        </w:trPr>
        <w:tc>
          <w:tcPr>
            <w:tcW w:w="522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 w:cs="Times New Roman"/>
                <w:kern w:val="0"/>
                <w:sz w:val="22"/>
              </w:rPr>
            </w:pPr>
            <w:r>
              <w:rPr>
                <w:rFonts w:ascii="Times New Roman" w:hAnsi="Times New Roman" w:eastAsia="仿宋" w:cs="Times New Roman"/>
                <w:kern w:val="0"/>
                <w:sz w:val="22"/>
              </w:rPr>
              <w:t>其中：办公用房（平方米）</w:t>
            </w:r>
          </w:p>
        </w:tc>
        <w:tc>
          <w:tcPr>
            <w:tcW w:w="3155" w:type="dxa"/>
            <w:tcBorders>
              <w:top w:val="nil"/>
              <w:left w:val="nil"/>
              <w:bottom w:val="single" w:color="auto" w:sz="4" w:space="0"/>
              <w:right w:val="single" w:color="auto" w:sz="4" w:space="0"/>
            </w:tcBorders>
            <w:vAlign w:val="center"/>
          </w:tcPr>
          <w:p>
            <w:pPr>
              <w:widowControl/>
              <w:jc w:val="center"/>
              <w:rPr>
                <w:rFonts w:ascii="Times New Roman" w:hAnsi="Times New Roman" w:eastAsia="仿宋" w:cs="Times New Roman"/>
                <w:kern w:val="0"/>
                <w:sz w:val="22"/>
              </w:rPr>
            </w:pPr>
            <w:r>
              <w:rPr>
                <w:rFonts w:hint="eastAsia" w:ascii="Times New Roman" w:hAnsi="Times New Roman" w:eastAsia="仿宋" w:cs="Times New Roman"/>
                <w:kern w:val="0"/>
                <w:sz w:val="22"/>
              </w:rPr>
              <w:t>0</w:t>
            </w:r>
          </w:p>
        </w:tc>
        <w:tc>
          <w:tcPr>
            <w:tcW w:w="5103" w:type="dxa"/>
            <w:tcBorders>
              <w:top w:val="nil"/>
              <w:left w:val="nil"/>
              <w:bottom w:val="single" w:color="auto" w:sz="4" w:space="0"/>
              <w:right w:val="single" w:color="auto" w:sz="4" w:space="0"/>
            </w:tcBorders>
            <w:vAlign w:val="center"/>
          </w:tcPr>
          <w:p>
            <w:pPr>
              <w:widowControl/>
              <w:jc w:val="center"/>
              <w:rPr>
                <w:rFonts w:ascii="Times New Roman" w:hAnsi="Times New Roman" w:eastAsia="仿宋" w:cs="Times New Roman"/>
                <w:kern w:val="0"/>
                <w:sz w:val="22"/>
              </w:rPr>
            </w:pPr>
            <w:r>
              <w:rPr>
                <w:rFonts w:hint="eastAsia" w:ascii="Times New Roman" w:hAnsi="Times New Roman" w:eastAsia="仿宋" w:cs="Times New Roman"/>
                <w:kern w:val="0"/>
                <w:sz w:val="22"/>
              </w:rPr>
              <w:t>0</w:t>
            </w:r>
          </w:p>
        </w:tc>
      </w:tr>
      <w:tr>
        <w:tblPrEx>
          <w:tblLayout w:type="fixed"/>
          <w:tblCellMar>
            <w:top w:w="0" w:type="dxa"/>
            <w:left w:w="108" w:type="dxa"/>
            <w:bottom w:w="0" w:type="dxa"/>
            <w:right w:w="108" w:type="dxa"/>
          </w:tblCellMar>
        </w:tblPrEx>
        <w:trPr>
          <w:trHeight w:val="510" w:hRule="atLeast"/>
        </w:trPr>
        <w:tc>
          <w:tcPr>
            <w:tcW w:w="522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 w:cs="Times New Roman"/>
                <w:kern w:val="0"/>
                <w:sz w:val="22"/>
              </w:rPr>
            </w:pPr>
            <w:r>
              <w:rPr>
                <w:rFonts w:ascii="Times New Roman" w:hAnsi="Times New Roman" w:eastAsia="仿宋" w:cs="Times New Roman"/>
                <w:kern w:val="0"/>
                <w:sz w:val="22"/>
              </w:rPr>
              <w:t>2、车辆（台、辆）</w:t>
            </w:r>
          </w:p>
        </w:tc>
        <w:tc>
          <w:tcPr>
            <w:tcW w:w="3155" w:type="dxa"/>
            <w:tcBorders>
              <w:top w:val="nil"/>
              <w:left w:val="nil"/>
              <w:bottom w:val="single" w:color="auto" w:sz="4" w:space="0"/>
              <w:right w:val="single" w:color="auto" w:sz="4" w:space="0"/>
            </w:tcBorders>
            <w:vAlign w:val="center"/>
          </w:tcPr>
          <w:p>
            <w:pPr>
              <w:widowControl/>
              <w:jc w:val="center"/>
              <w:rPr>
                <w:rFonts w:ascii="Times New Roman" w:hAnsi="Times New Roman" w:eastAsia="仿宋" w:cs="Times New Roman"/>
                <w:kern w:val="0"/>
                <w:sz w:val="22"/>
              </w:rPr>
            </w:pPr>
            <w:r>
              <w:rPr>
                <w:rFonts w:hint="eastAsia" w:ascii="Times New Roman" w:hAnsi="Times New Roman" w:eastAsia="仿宋" w:cs="Times New Roman"/>
                <w:kern w:val="0"/>
                <w:sz w:val="22"/>
              </w:rPr>
              <w:t>1</w:t>
            </w:r>
          </w:p>
        </w:tc>
        <w:tc>
          <w:tcPr>
            <w:tcW w:w="5103" w:type="dxa"/>
            <w:tcBorders>
              <w:top w:val="nil"/>
              <w:left w:val="nil"/>
              <w:bottom w:val="single" w:color="auto" w:sz="4" w:space="0"/>
              <w:right w:val="single" w:color="auto" w:sz="4" w:space="0"/>
            </w:tcBorders>
            <w:vAlign w:val="center"/>
          </w:tcPr>
          <w:p>
            <w:pPr>
              <w:widowControl/>
              <w:jc w:val="center"/>
              <w:rPr>
                <w:rFonts w:ascii="Times New Roman" w:hAnsi="Times New Roman" w:eastAsia="仿宋" w:cs="Times New Roman"/>
                <w:kern w:val="0"/>
                <w:sz w:val="22"/>
              </w:rPr>
            </w:pPr>
            <w:r>
              <w:rPr>
                <w:rFonts w:hint="eastAsia" w:ascii="Times New Roman" w:hAnsi="Times New Roman" w:eastAsia="仿宋" w:cs="Times New Roman"/>
                <w:kern w:val="0"/>
                <w:sz w:val="22"/>
              </w:rPr>
              <w:t>21.47</w:t>
            </w:r>
          </w:p>
        </w:tc>
      </w:tr>
      <w:tr>
        <w:tblPrEx>
          <w:tblLayout w:type="fixed"/>
          <w:tblCellMar>
            <w:top w:w="0" w:type="dxa"/>
            <w:left w:w="108" w:type="dxa"/>
            <w:bottom w:w="0" w:type="dxa"/>
            <w:right w:w="108" w:type="dxa"/>
          </w:tblCellMar>
        </w:tblPrEx>
        <w:trPr>
          <w:trHeight w:val="540" w:hRule="atLeast"/>
        </w:trPr>
        <w:tc>
          <w:tcPr>
            <w:tcW w:w="522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 w:cs="Times New Roman"/>
                <w:kern w:val="0"/>
                <w:sz w:val="22"/>
              </w:rPr>
            </w:pPr>
            <w:r>
              <w:rPr>
                <w:rFonts w:ascii="Times New Roman" w:hAnsi="Times New Roman" w:eastAsia="仿宋" w:cs="Times New Roman"/>
                <w:kern w:val="0"/>
                <w:sz w:val="22"/>
              </w:rPr>
              <w:t>3、单价在20万元以上设备</w:t>
            </w:r>
          </w:p>
        </w:tc>
        <w:tc>
          <w:tcPr>
            <w:tcW w:w="3155" w:type="dxa"/>
            <w:tcBorders>
              <w:top w:val="nil"/>
              <w:left w:val="nil"/>
              <w:bottom w:val="single" w:color="auto" w:sz="4" w:space="0"/>
              <w:right w:val="single" w:color="auto" w:sz="4" w:space="0"/>
            </w:tcBorders>
            <w:vAlign w:val="center"/>
          </w:tcPr>
          <w:p>
            <w:pPr>
              <w:widowControl/>
              <w:jc w:val="center"/>
              <w:rPr>
                <w:rFonts w:ascii="Times New Roman" w:hAnsi="Times New Roman" w:eastAsia="仿宋" w:cs="Times New Roman"/>
                <w:kern w:val="0"/>
                <w:sz w:val="22"/>
              </w:rPr>
            </w:pPr>
            <w:r>
              <w:rPr>
                <w:rFonts w:ascii="Times New Roman" w:hAnsi="Times New Roman" w:eastAsia="仿宋" w:cs="Times New Roman"/>
                <w:kern w:val="0"/>
                <w:sz w:val="22"/>
              </w:rPr>
              <w:t>——</w:t>
            </w:r>
          </w:p>
        </w:tc>
        <w:tc>
          <w:tcPr>
            <w:tcW w:w="5103" w:type="dxa"/>
            <w:tcBorders>
              <w:top w:val="nil"/>
              <w:left w:val="nil"/>
              <w:bottom w:val="single" w:color="auto" w:sz="4" w:space="0"/>
              <w:right w:val="single" w:color="auto" w:sz="4" w:space="0"/>
            </w:tcBorders>
            <w:vAlign w:val="center"/>
          </w:tcPr>
          <w:p>
            <w:pPr>
              <w:widowControl/>
              <w:jc w:val="center"/>
              <w:rPr>
                <w:rFonts w:ascii="Times New Roman" w:hAnsi="Times New Roman" w:eastAsia="仿宋" w:cs="Times New Roman"/>
                <w:kern w:val="0"/>
                <w:sz w:val="22"/>
              </w:rPr>
            </w:pPr>
            <w:r>
              <w:rPr>
                <w:rFonts w:hint="eastAsia" w:ascii="Times New Roman" w:hAnsi="Times New Roman" w:eastAsia="仿宋" w:cs="Times New Roman"/>
                <w:kern w:val="0"/>
                <w:sz w:val="22"/>
              </w:rPr>
              <w:t>0</w:t>
            </w:r>
          </w:p>
        </w:tc>
      </w:tr>
      <w:tr>
        <w:tblPrEx>
          <w:tblLayout w:type="fixed"/>
          <w:tblCellMar>
            <w:top w:w="0" w:type="dxa"/>
            <w:left w:w="108" w:type="dxa"/>
            <w:bottom w:w="0" w:type="dxa"/>
            <w:right w:w="108" w:type="dxa"/>
          </w:tblCellMar>
        </w:tblPrEx>
        <w:trPr>
          <w:trHeight w:val="535" w:hRule="atLeast"/>
        </w:trPr>
        <w:tc>
          <w:tcPr>
            <w:tcW w:w="5224" w:type="dxa"/>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 w:cs="Times New Roman"/>
                <w:kern w:val="0"/>
                <w:sz w:val="22"/>
              </w:rPr>
            </w:pPr>
            <w:r>
              <w:rPr>
                <w:rFonts w:ascii="Times New Roman" w:hAnsi="Times New Roman" w:eastAsia="仿宋" w:cs="Times New Roman"/>
                <w:kern w:val="0"/>
                <w:sz w:val="22"/>
              </w:rPr>
              <w:t>4、其他固定资产</w:t>
            </w:r>
          </w:p>
        </w:tc>
        <w:tc>
          <w:tcPr>
            <w:tcW w:w="3155" w:type="dxa"/>
            <w:tcBorders>
              <w:top w:val="nil"/>
              <w:left w:val="nil"/>
              <w:bottom w:val="single" w:color="auto" w:sz="4" w:space="0"/>
              <w:right w:val="single" w:color="auto" w:sz="4" w:space="0"/>
            </w:tcBorders>
            <w:vAlign w:val="center"/>
          </w:tcPr>
          <w:p>
            <w:pPr>
              <w:widowControl/>
              <w:jc w:val="center"/>
              <w:rPr>
                <w:rFonts w:hint="eastAsia" w:ascii="Times New Roman" w:hAnsi="Times New Roman" w:eastAsia="仿宋" w:cs="Times New Roman"/>
                <w:kern w:val="0"/>
                <w:sz w:val="22"/>
                <w:lang w:eastAsia="zh-CN"/>
              </w:rPr>
            </w:pPr>
            <w:r>
              <w:rPr>
                <w:rFonts w:hint="eastAsia" w:ascii="Times New Roman" w:hAnsi="Times New Roman" w:eastAsia="仿宋" w:cs="Times New Roman"/>
                <w:kern w:val="0"/>
                <w:sz w:val="22"/>
              </w:rPr>
              <w:t>7</w:t>
            </w:r>
            <w:r>
              <w:rPr>
                <w:rFonts w:hint="eastAsia" w:ascii="Times New Roman" w:hAnsi="Times New Roman" w:eastAsia="仿宋" w:cs="Times New Roman"/>
                <w:kern w:val="0"/>
                <w:sz w:val="22"/>
                <w:lang w:val="en-US" w:eastAsia="zh-CN"/>
              </w:rPr>
              <w:t>3</w:t>
            </w:r>
          </w:p>
        </w:tc>
        <w:tc>
          <w:tcPr>
            <w:tcW w:w="5103" w:type="dxa"/>
            <w:tcBorders>
              <w:top w:val="nil"/>
              <w:left w:val="nil"/>
              <w:bottom w:val="single" w:color="auto" w:sz="4" w:space="0"/>
              <w:right w:val="single" w:color="auto" w:sz="4" w:space="0"/>
            </w:tcBorders>
            <w:vAlign w:val="center"/>
          </w:tcPr>
          <w:p>
            <w:pPr>
              <w:widowControl/>
              <w:jc w:val="center"/>
              <w:rPr>
                <w:rFonts w:hint="eastAsia" w:ascii="Times New Roman" w:hAnsi="Times New Roman" w:eastAsia="仿宋" w:cs="Times New Roman"/>
                <w:kern w:val="0"/>
                <w:sz w:val="22"/>
                <w:lang w:val="en-US" w:eastAsia="zh-CN"/>
              </w:rPr>
            </w:pPr>
            <w:r>
              <w:rPr>
                <w:rFonts w:hint="eastAsia" w:ascii="Times New Roman" w:hAnsi="Times New Roman" w:eastAsia="仿宋" w:cs="Times New Roman"/>
                <w:kern w:val="0"/>
                <w:sz w:val="22"/>
              </w:rPr>
              <w:t>1</w:t>
            </w:r>
            <w:r>
              <w:rPr>
                <w:rFonts w:hint="eastAsia" w:ascii="Times New Roman" w:hAnsi="Times New Roman" w:eastAsia="仿宋" w:cs="Times New Roman"/>
                <w:kern w:val="0"/>
                <w:sz w:val="22"/>
                <w:lang w:val="en-US" w:eastAsia="zh-CN"/>
              </w:rPr>
              <w:t>3.49</w:t>
            </w:r>
          </w:p>
        </w:tc>
      </w:tr>
    </w:tbl>
    <w:p>
      <w:pPr>
        <w:numPr>
          <w:ilvl w:val="0"/>
          <w:numId w:val="2"/>
        </w:numPr>
        <w:autoSpaceDE w:val="0"/>
        <w:autoSpaceDN w:val="0"/>
        <w:adjustRightInd w:val="0"/>
        <w:ind w:left="198" w:firstLine="640" w:firstLineChars="200"/>
        <w:jc w:val="left"/>
        <w:rPr>
          <w:rFonts w:ascii="黑体" w:hAnsi="黑体" w:eastAsia="黑体" w:cs="Times New Roman"/>
          <w:sz w:val="32"/>
          <w:szCs w:val="32"/>
        </w:rPr>
      </w:pPr>
      <w:r>
        <w:rPr>
          <w:rFonts w:hint="eastAsia" w:ascii="黑体" w:hAnsi="黑体" w:eastAsia="黑体" w:cs="Times New Roman"/>
          <w:sz w:val="32"/>
          <w:szCs w:val="32"/>
        </w:rPr>
        <w:t>名词解释</w:t>
      </w:r>
    </w:p>
    <w:p>
      <w:pPr>
        <w:autoSpaceDE w:val="0"/>
        <w:autoSpaceDN w:val="0"/>
        <w:adjustRightInd w:val="0"/>
        <w:ind w:left="420" w:leftChars="200"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1、一般</w:t>
      </w:r>
      <w:r>
        <w:rPr>
          <w:rFonts w:hint="eastAsia" w:ascii="仿宋_GB2312" w:hAnsi="仿宋_GB2312" w:eastAsia="仿宋_GB2312" w:cs="仿宋_GB2312"/>
          <w:sz w:val="32"/>
          <w:szCs w:val="32"/>
          <w:lang w:eastAsia="zh-CN"/>
        </w:rPr>
        <w:t>公共</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eastAsia="zh-CN"/>
        </w:rPr>
        <w:t>拨款</w:t>
      </w:r>
      <w:r>
        <w:rPr>
          <w:rFonts w:hint="eastAsia" w:ascii="仿宋_GB2312" w:hAnsi="仿宋_GB2312" w:eastAsia="仿宋_GB2312" w:cs="仿宋_GB2312"/>
          <w:sz w:val="32"/>
          <w:szCs w:val="32"/>
        </w:rPr>
        <w:t>收入：市级财政当年拨付的资金。</w:t>
      </w:r>
    </w:p>
    <w:p>
      <w:pPr>
        <w:autoSpaceDE w:val="0"/>
        <w:autoSpaceDN w:val="0"/>
        <w:adjustRightInd w:val="0"/>
        <w:ind w:left="420" w:leftChars="200"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2、基本支出：为保障机构正常运转，完成日常工作任务，而发生的人员支出和公用支出。</w:t>
      </w:r>
    </w:p>
    <w:p>
      <w:pPr>
        <w:autoSpaceDE w:val="0"/>
        <w:autoSpaceDN w:val="0"/>
        <w:adjustRightInd w:val="0"/>
        <w:ind w:left="420" w:leftChars="200"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3、项目支出：是指在基本支出之外，为完成特定行政任务和事业发展目标，而发生的支出。</w:t>
      </w:r>
    </w:p>
    <w:p>
      <w:pPr>
        <w:autoSpaceDE w:val="0"/>
        <w:autoSpaceDN w:val="0"/>
        <w:adjustRightInd w:val="0"/>
        <w:ind w:left="420" w:leftChars="20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机关运行费：是指为保证行政单位（包括参照公务员管理的事业单位）运行，用于购买货物和服务的各项资金。主要包括：办公费、印刷费，水费、电费、邮电费、福利费、日常维修费、办公取暖费、办公物业服务费、公务车运行维护费等。</w:t>
      </w:r>
    </w:p>
    <w:p>
      <w:pPr>
        <w:autoSpaceDE w:val="0"/>
        <w:autoSpaceDN w:val="0"/>
        <w:adjustRightInd w:val="0"/>
        <w:ind w:left="420" w:leftChars="200"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5、“三公”经费：指使用一般公共预算财政拨款安排的因公出国(境)费、公务用车购置及运行维护费和公务接待费。其中，因公出国(境)费用反映单位公务出国(境)的国际旅费、国外城市间交通费、住宿费、伙食费、培训费、公杂费等支出；公务用车购置及运行维护费反映单位公务用车车辆购置支出(含车辆购置税)及租用费、燃料费、维修费、过桥过路费、保险费、安全奖励费用等支出；公务接待费反映单位按规定开支的各类公务接待(含外宾接待)费用。</w:t>
      </w:r>
    </w:p>
    <w:p>
      <w:pPr>
        <w:autoSpaceDE w:val="0"/>
        <w:autoSpaceDN w:val="0"/>
        <w:adjustRightInd w:val="0"/>
        <w:ind w:left="420" w:leftChars="200" w:firstLine="643" w:firstLineChars="200"/>
        <w:jc w:val="left"/>
        <w:rPr>
          <w:rFonts w:ascii="宋体-方正超大字符集" w:hAnsi="宋体-方正超大字符集" w:eastAsia="宋体-方正超大字符集" w:cs="宋体-方正超大字符集"/>
          <w:b/>
          <w:bCs/>
          <w:sz w:val="32"/>
          <w:szCs w:val="32"/>
        </w:rPr>
      </w:pPr>
      <w:r>
        <w:rPr>
          <w:rFonts w:hint="eastAsia" w:ascii="宋体-方正超大字符集" w:hAnsi="宋体-方正超大字符集" w:eastAsia="宋体-方正超大字符集" w:cs="宋体-方正超大字符集"/>
          <w:b/>
          <w:bCs/>
          <w:sz w:val="32"/>
          <w:szCs w:val="32"/>
        </w:rPr>
        <w:t>九、其他需要说明的事项</w:t>
      </w:r>
    </w:p>
    <w:p>
      <w:pPr>
        <w:autoSpaceDE w:val="0"/>
        <w:autoSpaceDN w:val="0"/>
        <w:adjustRightInd w:val="0"/>
        <w:ind w:left="420" w:leftChars="200"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我部门无其他需要说明的事项</w:t>
      </w:r>
    </w:p>
    <w:p>
      <w:pPr>
        <w:autoSpaceDE w:val="0"/>
        <w:autoSpaceDN w:val="0"/>
        <w:adjustRightInd w:val="0"/>
        <w:ind w:left="420" w:leftChars="200" w:firstLine="643" w:firstLineChars="200"/>
        <w:jc w:val="left"/>
        <w:rPr>
          <w:rFonts w:hint="eastAsia" w:ascii="宋体-方正超大字符集" w:hAnsi="宋体-方正超大字符集" w:eastAsia="宋体-方正超大字符集" w:cs="宋体-方正超大字符集"/>
          <w:b/>
          <w:bCs/>
          <w:sz w:val="32"/>
          <w:szCs w:val="32"/>
          <w:lang w:val="en-US" w:eastAsia="zh-CN"/>
        </w:rPr>
      </w:pPr>
      <w:r>
        <w:rPr>
          <w:rFonts w:hint="eastAsia" w:ascii="宋体-方正超大字符集" w:hAnsi="宋体-方正超大字符集" w:eastAsia="宋体-方正超大字符集" w:cs="宋体-方正超大字符集"/>
          <w:b/>
          <w:bCs/>
          <w:sz w:val="32"/>
          <w:szCs w:val="32"/>
          <w:lang w:eastAsia="zh-CN"/>
        </w:rPr>
        <w:t>十、本年度预算批复日期及文号</w:t>
      </w:r>
    </w:p>
    <w:p>
      <w:pPr>
        <w:autoSpaceDE w:val="0"/>
        <w:autoSpaceDN w:val="0"/>
        <w:adjustRightInd w:val="0"/>
        <w:ind w:left="420" w:leftChars="200"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本年度预算批复日期为</w:t>
      </w:r>
      <w:r>
        <w:rPr>
          <w:rFonts w:hint="eastAsia" w:ascii="仿宋_GB2312" w:hAnsi="仿宋_GB2312" w:eastAsia="仿宋_GB2312" w:cs="仿宋_GB2312"/>
          <w:sz w:val="32"/>
          <w:szCs w:val="32"/>
          <w:lang w:val="en-US" w:eastAsia="zh-CN"/>
        </w:rPr>
        <w:t>2019年2月14日，批复文件号为承财预[2019]10号。</w:t>
      </w:r>
    </w:p>
    <w:p>
      <w:pPr>
        <w:numPr>
          <w:ilvl w:val="0"/>
          <w:numId w:val="0"/>
        </w:numPr>
        <w:autoSpaceDE w:val="0"/>
        <w:autoSpaceDN w:val="0"/>
        <w:adjustRightInd w:val="0"/>
        <w:ind w:leftChars="200"/>
        <w:jc w:val="left"/>
        <w:rPr>
          <w:rFonts w:hint="eastAsia" w:ascii="仿宋_GB2312" w:hAnsi="仿宋_GB2312" w:eastAsia="仿宋_GB2312" w:cs="仿宋_GB2312"/>
          <w:sz w:val="32"/>
          <w:szCs w:val="32"/>
          <w:lang w:val="en-US" w:eastAsia="zh-CN"/>
        </w:rPr>
      </w:pPr>
    </w:p>
    <w:sectPr>
      <w:footerReference r:id="rId4" w:type="default"/>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altName w:val="Arial Unicode MS"/>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altName w:val="Arial Unicode MS"/>
    <w:panose1 w:val="00000000000000000000"/>
    <w:charset w:val="86"/>
    <w:family w:val="script"/>
    <w:pitch w:val="default"/>
    <w:sig w:usb0="00000000" w:usb1="00000000" w:usb2="00000010" w:usb3="00000000" w:csb0="00040000" w:csb1="00000000"/>
  </w:font>
  <w:font w:name="方正楷体_GBK">
    <w:altName w:val="宋体"/>
    <w:panose1 w:val="00000000000000000000"/>
    <w:charset w:val="86"/>
    <w:family w:val="roman"/>
    <w:pitch w:val="default"/>
    <w:sig w:usb0="00000000" w:usb1="00000000" w:usb2="00000000" w:usb3="00000000" w:csb0="00040001" w:csb1="00000000"/>
  </w:font>
  <w:font w:name="宋体-方正超大字符集">
    <w:altName w:val="宋体"/>
    <w:panose1 w:val="00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3686155"/>
      <w:docPartObj>
        <w:docPartGallery w:val="autotext"/>
      </w:docPartObj>
    </w:sdtPr>
    <w:sdtContent>
      <w:p>
        <w:pPr>
          <w:pStyle w:val="2"/>
          <w:jc w:val="center"/>
        </w:pPr>
        <w:r>
          <w:fldChar w:fldCharType="begin"/>
        </w:r>
        <w:r>
          <w:instrText xml:space="preserve"> PAGE   \* MERGEFORMAT </w:instrText>
        </w:r>
        <w:r>
          <w:fldChar w:fldCharType="separate"/>
        </w:r>
        <w:r>
          <w:rPr>
            <w:lang w:val="zh-CN"/>
          </w:rPr>
          <w:t>11</w:t>
        </w:r>
        <w:r>
          <w:rPr>
            <w:lang w:val="zh-CN"/>
          </w:rPr>
          <w:fldChar w:fldCharType="end"/>
        </w:r>
      </w:p>
    </w:sdtContent>
  </w:sdt>
  <w:p>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5"/>
        <w:rPr>
          <w:rFonts w:hint="eastAsia"/>
        </w:rPr>
      </w:pPr>
      <w:r>
        <w:rPr>
          <w:rStyle w:val="10"/>
        </w:rPr>
        <w:sym w:font="Symbol" w:char="F020"/>
      </w:r>
      <w:r>
        <w:rPr>
          <w:rFonts w:hint="eastAsia" w:ascii="方正楷体_GBK" w:eastAsia="方正楷体_GBK"/>
          <w:sz w:val="24"/>
        </w:rPr>
        <w:t>备注：表中的年度预算数为项目支出，部门工作活动虽未安排项目支出，但由基本支出保障，由于基本支出无法拆分到相应的工作活动，因此部分工作活动没有列示年度预算数。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818F2D"/>
    <w:multiLevelType w:val="singleLevel"/>
    <w:tmpl w:val="58818F2D"/>
    <w:lvl w:ilvl="0" w:tentative="0">
      <w:start w:val="2"/>
      <w:numFmt w:val="decimal"/>
      <w:suff w:val="nothing"/>
      <w:lvlText w:val="%1、"/>
      <w:lvlJc w:val="left"/>
    </w:lvl>
  </w:abstractNum>
  <w:abstractNum w:abstractNumId="1">
    <w:nsid w:val="5881B3F2"/>
    <w:multiLevelType w:val="singleLevel"/>
    <w:tmpl w:val="5881B3F2"/>
    <w:lvl w:ilvl="0" w:tentative="0">
      <w:start w:val="8"/>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F66032"/>
    <w:rsid w:val="00003A3F"/>
    <w:rsid w:val="00020D8D"/>
    <w:rsid w:val="00023BFF"/>
    <w:rsid w:val="00037AF6"/>
    <w:rsid w:val="00042D28"/>
    <w:rsid w:val="00067604"/>
    <w:rsid w:val="00075D5F"/>
    <w:rsid w:val="00087621"/>
    <w:rsid w:val="000B3E8D"/>
    <w:rsid w:val="000B6E4E"/>
    <w:rsid w:val="000C3A19"/>
    <w:rsid w:val="000C7B48"/>
    <w:rsid w:val="000F14A0"/>
    <w:rsid w:val="001245BB"/>
    <w:rsid w:val="0016530E"/>
    <w:rsid w:val="001F2DD7"/>
    <w:rsid w:val="00241FD4"/>
    <w:rsid w:val="00251B12"/>
    <w:rsid w:val="00262373"/>
    <w:rsid w:val="0029372B"/>
    <w:rsid w:val="00296113"/>
    <w:rsid w:val="002F3E58"/>
    <w:rsid w:val="0030542C"/>
    <w:rsid w:val="00311B7A"/>
    <w:rsid w:val="00314C7B"/>
    <w:rsid w:val="00374F4E"/>
    <w:rsid w:val="00446BE9"/>
    <w:rsid w:val="00451871"/>
    <w:rsid w:val="00472923"/>
    <w:rsid w:val="00496BE1"/>
    <w:rsid w:val="004D39FC"/>
    <w:rsid w:val="004E3066"/>
    <w:rsid w:val="004E74CD"/>
    <w:rsid w:val="00573562"/>
    <w:rsid w:val="00614A29"/>
    <w:rsid w:val="006601FB"/>
    <w:rsid w:val="00677D04"/>
    <w:rsid w:val="006A17A0"/>
    <w:rsid w:val="006A575C"/>
    <w:rsid w:val="006D6ADD"/>
    <w:rsid w:val="006E3FDA"/>
    <w:rsid w:val="00735D72"/>
    <w:rsid w:val="0075393C"/>
    <w:rsid w:val="00776C08"/>
    <w:rsid w:val="007E1DA8"/>
    <w:rsid w:val="007F6C26"/>
    <w:rsid w:val="008334AE"/>
    <w:rsid w:val="00836FED"/>
    <w:rsid w:val="00845CD2"/>
    <w:rsid w:val="00852B0D"/>
    <w:rsid w:val="00862028"/>
    <w:rsid w:val="0087167E"/>
    <w:rsid w:val="00881692"/>
    <w:rsid w:val="00883F91"/>
    <w:rsid w:val="00887B5F"/>
    <w:rsid w:val="008A2437"/>
    <w:rsid w:val="008B3CC5"/>
    <w:rsid w:val="008E315B"/>
    <w:rsid w:val="008E4261"/>
    <w:rsid w:val="008F3E86"/>
    <w:rsid w:val="008F4662"/>
    <w:rsid w:val="00905AE5"/>
    <w:rsid w:val="00905D08"/>
    <w:rsid w:val="00925753"/>
    <w:rsid w:val="009547A8"/>
    <w:rsid w:val="00966C5C"/>
    <w:rsid w:val="00970D63"/>
    <w:rsid w:val="00973104"/>
    <w:rsid w:val="00973AF1"/>
    <w:rsid w:val="009B5383"/>
    <w:rsid w:val="00A150B3"/>
    <w:rsid w:val="00A61CC7"/>
    <w:rsid w:val="00A72D2E"/>
    <w:rsid w:val="00A85380"/>
    <w:rsid w:val="00A911E7"/>
    <w:rsid w:val="00A939D9"/>
    <w:rsid w:val="00AD2598"/>
    <w:rsid w:val="00AF19FC"/>
    <w:rsid w:val="00AF23C6"/>
    <w:rsid w:val="00B20712"/>
    <w:rsid w:val="00B43238"/>
    <w:rsid w:val="00B62F6A"/>
    <w:rsid w:val="00B75216"/>
    <w:rsid w:val="00B91D52"/>
    <w:rsid w:val="00BA1ACD"/>
    <w:rsid w:val="00BF1F9C"/>
    <w:rsid w:val="00C611E4"/>
    <w:rsid w:val="00C671C9"/>
    <w:rsid w:val="00C96887"/>
    <w:rsid w:val="00CA1C82"/>
    <w:rsid w:val="00CA7176"/>
    <w:rsid w:val="00CC163D"/>
    <w:rsid w:val="00CD2773"/>
    <w:rsid w:val="00CD2F6F"/>
    <w:rsid w:val="00CE143B"/>
    <w:rsid w:val="00D515B3"/>
    <w:rsid w:val="00D74B13"/>
    <w:rsid w:val="00DA1864"/>
    <w:rsid w:val="00DB54D4"/>
    <w:rsid w:val="00DD400C"/>
    <w:rsid w:val="00E167C7"/>
    <w:rsid w:val="00E3098E"/>
    <w:rsid w:val="00E35B78"/>
    <w:rsid w:val="00E64A70"/>
    <w:rsid w:val="00E8580C"/>
    <w:rsid w:val="00EB7FF4"/>
    <w:rsid w:val="00EC47F6"/>
    <w:rsid w:val="00EC6E62"/>
    <w:rsid w:val="00EE4604"/>
    <w:rsid w:val="00F66032"/>
    <w:rsid w:val="00F66EAD"/>
    <w:rsid w:val="00F71B45"/>
    <w:rsid w:val="00F77506"/>
    <w:rsid w:val="00F958C2"/>
    <w:rsid w:val="00FA67E8"/>
    <w:rsid w:val="01FB23CB"/>
    <w:rsid w:val="02FA51EA"/>
    <w:rsid w:val="03F85774"/>
    <w:rsid w:val="0913255C"/>
    <w:rsid w:val="0B0D77B0"/>
    <w:rsid w:val="0C3D5924"/>
    <w:rsid w:val="0D9F1876"/>
    <w:rsid w:val="10ED36A0"/>
    <w:rsid w:val="114917E9"/>
    <w:rsid w:val="15F42192"/>
    <w:rsid w:val="19C36DAA"/>
    <w:rsid w:val="1A5D684E"/>
    <w:rsid w:val="1ABE55EE"/>
    <w:rsid w:val="1B243340"/>
    <w:rsid w:val="1D954D97"/>
    <w:rsid w:val="1F6F2A19"/>
    <w:rsid w:val="22AB5AD8"/>
    <w:rsid w:val="29476F5B"/>
    <w:rsid w:val="2A012DF7"/>
    <w:rsid w:val="303D4E30"/>
    <w:rsid w:val="316E2FA4"/>
    <w:rsid w:val="3507028C"/>
    <w:rsid w:val="3595643A"/>
    <w:rsid w:val="38E01BC5"/>
    <w:rsid w:val="3CD42DDC"/>
    <w:rsid w:val="419B1E78"/>
    <w:rsid w:val="42706B76"/>
    <w:rsid w:val="429960CF"/>
    <w:rsid w:val="450E16B8"/>
    <w:rsid w:val="45C76287"/>
    <w:rsid w:val="471D5503"/>
    <w:rsid w:val="492C0AE6"/>
    <w:rsid w:val="4A5B700A"/>
    <w:rsid w:val="4DF57B76"/>
    <w:rsid w:val="4E1875FC"/>
    <w:rsid w:val="514F3562"/>
    <w:rsid w:val="541C1C0A"/>
    <w:rsid w:val="55145A25"/>
    <w:rsid w:val="55383E38"/>
    <w:rsid w:val="5911172D"/>
    <w:rsid w:val="59870472"/>
    <w:rsid w:val="5A584658"/>
    <w:rsid w:val="5E731884"/>
    <w:rsid w:val="67136B29"/>
    <w:rsid w:val="67706CC4"/>
    <w:rsid w:val="678A783D"/>
    <w:rsid w:val="685B7F7B"/>
    <w:rsid w:val="68AE4931"/>
    <w:rsid w:val="6C053E44"/>
    <w:rsid w:val="6C1872E4"/>
    <w:rsid w:val="6CA86ED0"/>
    <w:rsid w:val="724C7A91"/>
    <w:rsid w:val="72617A36"/>
    <w:rsid w:val="72CD0587"/>
    <w:rsid w:val="7A966AD7"/>
    <w:rsid w:val="7DE97364"/>
    <w:rsid w:val="7EB2342C"/>
    <w:rsid w:val="7FBC79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iPriority="99"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iPriority="99" w:name="footnote reference"/>
    <w:lsdException w:uiPriority="0" w:name="annotation reference"/>
    <w:lsdException w:uiPriority="0" w:name="line number"/>
    <w:lsdException w:qFormat="1" w:uiPriority="99"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2"/>
    <w:qFormat/>
    <w:uiPriority w:val="99"/>
    <w:pPr>
      <w:tabs>
        <w:tab w:val="center" w:pos="4153"/>
        <w:tab w:val="right" w:pos="8306"/>
      </w:tabs>
      <w:snapToGrid w:val="0"/>
      <w:jc w:val="left"/>
    </w:pPr>
    <w:rPr>
      <w:rFonts w:ascii="Times New Roman" w:hAnsi="Times New Roman" w:cs="Times New Roman"/>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4">
    <w:name w:val="toc 1"/>
    <w:basedOn w:val="1"/>
    <w:next w:val="1"/>
    <w:qFormat/>
    <w:uiPriority w:val="0"/>
    <w:rPr>
      <w:rFonts w:ascii="Times New Roman" w:hAnsi="Times New Roman" w:cs="Times New Roman"/>
      <w:szCs w:val="24"/>
    </w:rPr>
  </w:style>
  <w:style w:type="paragraph" w:styleId="5">
    <w:name w:val="footnote text"/>
    <w:basedOn w:val="1"/>
    <w:semiHidden/>
    <w:unhideWhenUsed/>
    <w:qFormat/>
    <w:uiPriority w:val="99"/>
    <w:pPr>
      <w:snapToGrid w:val="0"/>
      <w:jc w:val="left"/>
    </w:pPr>
    <w:rPr>
      <w:rFonts w:ascii="Calibri" w:hAnsi="Calibri" w:eastAsia="宋体" w:cs="Times New Roman"/>
      <w:sz w:val="18"/>
      <w:szCs w:val="18"/>
    </w:rPr>
  </w:style>
  <w:style w:type="paragraph" w:styleId="6">
    <w:name w:val="toc 2"/>
    <w:basedOn w:val="1"/>
    <w:next w:val="1"/>
    <w:qFormat/>
    <w:uiPriority w:val="0"/>
    <w:pPr>
      <w:ind w:left="420" w:leftChars="200"/>
    </w:pPr>
    <w:rPr>
      <w:rFonts w:ascii="Times New Roman" w:hAnsi="Times New Roman" w:cs="Times New Roman"/>
      <w:szCs w:val="24"/>
    </w:rPr>
  </w:style>
  <w:style w:type="character" w:styleId="9">
    <w:name w:val="page number"/>
    <w:basedOn w:val="8"/>
    <w:semiHidden/>
    <w:unhideWhenUsed/>
    <w:qFormat/>
    <w:uiPriority w:val="99"/>
  </w:style>
  <w:style w:type="character" w:styleId="10">
    <w:name w:val="footnote reference"/>
    <w:basedOn w:val="8"/>
    <w:semiHidden/>
    <w:unhideWhenUsed/>
    <w:qFormat/>
    <w:uiPriority w:val="99"/>
    <w:rPr>
      <w:vertAlign w:val="superscript"/>
    </w:rPr>
  </w:style>
  <w:style w:type="character" w:customStyle="1" w:styleId="11">
    <w:name w:val="页眉 Char"/>
    <w:basedOn w:val="8"/>
    <w:link w:val="3"/>
    <w:qFormat/>
    <w:uiPriority w:val="0"/>
    <w:rPr>
      <w:rFonts w:ascii="Times New Roman" w:hAnsi="Times New Roman" w:eastAsia="宋体" w:cs="Times New Roman"/>
      <w:sz w:val="18"/>
      <w:szCs w:val="18"/>
    </w:rPr>
  </w:style>
  <w:style w:type="character" w:customStyle="1" w:styleId="12">
    <w:name w:val="页脚 Char"/>
    <w:basedOn w:val="8"/>
    <w:link w:val="2"/>
    <w:qFormat/>
    <w:uiPriority w:val="99"/>
    <w:rPr>
      <w:rFonts w:ascii="Times New Roman" w:hAnsi="Times New Roman" w:eastAsia="宋体" w:cs="Times New Roman"/>
      <w:sz w:val="18"/>
      <w:szCs w:val="18"/>
    </w:rPr>
  </w:style>
  <w:style w:type="paragraph" w:styleId="13">
    <w:name w:val="List Paragraph"/>
    <w:basedOn w:val="1"/>
    <w:qFormat/>
    <w:uiPriority w:val="99"/>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13</Pages>
  <Words>963</Words>
  <Characters>5492</Characters>
  <Lines>45</Lines>
  <Paragraphs>12</Paragraphs>
  <TotalTime>20</TotalTime>
  <ScaleCrop>false</ScaleCrop>
  <LinksUpToDate>false</LinksUpToDate>
  <CharactersWithSpaces>6443</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2017-01-20T01:29:00Z</dcterms:created>
  <dc:creator>guest</dc:creator>
  <cp:lastModifiedBy>Administrator</cp:lastModifiedBy>
  <cp:lastPrinted>2018-03-09T02:14:00Z</cp:lastPrinted>
  <dcterms:modified xsi:type="dcterms:W3CDTF">2019-03-14T08:17:28Z</dcterms:modified>
  <dc:title>河北省2017年部门预算信息公开</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