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_GBK" w:cs="Times New Roman"/>
          <w:sz w:val="44"/>
          <w:szCs w:val="44"/>
        </w:rPr>
      </w:pPr>
      <w:r>
        <w:rPr>
          <w:rFonts w:hint="eastAsia" w:ascii="Times New Roman" w:hAnsi="Times New Roman" w:eastAsia="方正小标宋_GBK" w:cs="Times New Roman"/>
          <w:sz w:val="44"/>
          <w:szCs w:val="44"/>
        </w:rPr>
        <w:t>承德市社会科学界联合会</w:t>
      </w:r>
      <w:r>
        <w:rPr>
          <w:rFonts w:ascii="Times New Roman" w:hAnsi="Times New Roman" w:eastAsia="方正小标宋_GBK" w:cs="Times New Roman"/>
          <w:sz w:val="44"/>
          <w:szCs w:val="44"/>
        </w:rPr>
        <w:t>20</w:t>
      </w:r>
      <w:r>
        <w:rPr>
          <w:rFonts w:hint="eastAsia" w:ascii="Times New Roman" w:hAnsi="Times New Roman" w:eastAsia="方正小标宋_GBK" w:cs="Times New Roman"/>
          <w:sz w:val="44"/>
          <w:szCs w:val="44"/>
          <w:lang w:val="en-US" w:eastAsia="zh-CN"/>
        </w:rPr>
        <w:t>20</w:t>
      </w:r>
      <w:r>
        <w:rPr>
          <w:rFonts w:ascii="Times New Roman" w:hAnsi="Times New Roman" w:eastAsia="方正小标宋_GBK" w:cs="Times New Roman"/>
          <w:sz w:val="44"/>
          <w:szCs w:val="44"/>
        </w:rPr>
        <w:t>年部门预算信息公开</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按照《预算法》、《地方预决算公开操作规程》和《河北省省级预算公开办法》规定，现将20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年部门预算公开如下：</w:t>
      </w:r>
    </w:p>
    <w:p>
      <w:pPr>
        <w:ind w:firstLine="640"/>
        <w:rPr>
          <w:rFonts w:ascii="黑体" w:hAnsi="黑体" w:eastAsia="黑体" w:cs="Times New Roman"/>
          <w:sz w:val="32"/>
          <w:szCs w:val="32"/>
        </w:rPr>
      </w:pPr>
      <w:r>
        <w:rPr>
          <w:rFonts w:hint="eastAsia" w:ascii="黑体" w:hAnsi="黑体" w:eastAsia="黑体" w:cs="Times New Roman"/>
          <w:sz w:val="32"/>
          <w:szCs w:val="32"/>
        </w:rPr>
        <w:t>一、部门职责及机构设置情况</w:t>
      </w:r>
    </w:p>
    <w:p>
      <w:pPr>
        <w:spacing w:line="520" w:lineRule="exact"/>
        <w:ind w:firstLine="640" w:firstLineChars="200"/>
        <w:rPr>
          <w:rFonts w:ascii="仿宋_GB2312" w:hAnsi="仿宋_GB2312" w:eastAsia="仿宋_GB2312" w:cs="仿宋_GB2312"/>
          <w:sz w:val="32"/>
          <w:szCs w:val="32"/>
        </w:rPr>
      </w:pPr>
      <w:r>
        <w:rPr>
          <w:rFonts w:hint="eastAsia" w:ascii="Times New Roman" w:hAnsi="Times New Roman" w:eastAsia="方正仿宋_GBK" w:cs="Times New Roman"/>
          <w:b/>
          <w:sz w:val="32"/>
          <w:szCs w:val="32"/>
        </w:rPr>
        <w:t xml:space="preserve">    部门</w:t>
      </w:r>
      <w:r>
        <w:rPr>
          <w:rFonts w:ascii="Times New Roman" w:hAnsi="Times New Roman" w:eastAsia="方正仿宋_GBK" w:cs="Times New Roman"/>
          <w:b/>
          <w:sz w:val="32"/>
          <w:szCs w:val="32"/>
        </w:rPr>
        <w:t>职责：</w:t>
      </w:r>
      <w:r>
        <w:rPr>
          <w:rFonts w:hint="eastAsia" w:ascii="仿宋_GB2312" w:hAnsi="仿宋_GB2312" w:eastAsia="仿宋_GB2312" w:cs="仿宋_GB2312"/>
          <w:sz w:val="32"/>
          <w:szCs w:val="32"/>
        </w:rPr>
        <w:t>承德市社会科学界联合会是全市社会科学工作者的群众组织，是中共承德市委领导下的人民团体，是党和政府联系社科工作的桥梁和纽带，是推动社会科学事业发展的重要力量。其主要职责为：（一）负责所属各社科团体的组织管理和工作指导。（二）围绕市委、市政府的重大工作部署，以邓小平理论和“三个代表”重要思想为指导，联系我市经济建设和社会发展实际，有计划地组织广大社会科学工作者开展学术研究和交流活动。（三）根据市政府[1996]42号令，定期组织开展全市性的社会科学优秀科研成果评奖工作。（四）编辑出版会刊和有关学术研究资料，为广大社科工作者提供发表作品的园地。（五）组织所属社团开展宣传、普及社会科学知识和科普咨询服务工作。（六）反映社科工作者的愿望和要求，维护其正当权益。（七）完成市委、市政府交办的其它有关工作任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2016年8月，承德市机构编制委员会《关于市社科联机构编制调整事宜的批复》（承市机编[2016]25号）同意增加两项主要职责：一是开展马克思主义基本理论，中国特色社会主义理论体系，党的路线、方针、政策，社会科学学科建设的宣传研究与咨政服务。二是负责全市社会科学研究规划的制订，发布承德市哲学社会科学研究项目，根据《承德市社会科学发展研究课题管理办法》，推动和组织各社会科学学术团体、高校及全市社科工作者有计划地开展学术研究和学术活动，推动全市社会科学各门学科的创新建设，为市委、市政府及有关部门提供决策依据和参考。</w:t>
      </w:r>
    </w:p>
    <w:p>
      <w:pPr>
        <w:ind w:firstLine="630"/>
        <w:rPr>
          <w:rFonts w:ascii="仿宋" w:hAnsi="仿宋" w:eastAsia="仿宋" w:cs="宋体"/>
          <w:kern w:val="0"/>
          <w:sz w:val="32"/>
          <w:szCs w:val="32"/>
        </w:rPr>
      </w:pPr>
      <w:r>
        <w:rPr>
          <w:rFonts w:hint="eastAsia" w:ascii="仿宋_GB2312" w:hAnsi="仿宋_GB2312" w:eastAsia="仿宋_GB2312" w:cs="仿宋_GB2312"/>
          <w:sz w:val="32"/>
          <w:szCs w:val="32"/>
        </w:rPr>
        <w:t>根据“三定规定”批复，我单位现有内设机构2个，分别是办公室和科普部</w:t>
      </w:r>
      <w:r>
        <w:rPr>
          <w:rFonts w:hint="eastAsia" w:ascii="仿宋" w:hAnsi="仿宋" w:eastAsia="仿宋" w:cs="宋体"/>
          <w:kern w:val="0"/>
          <w:sz w:val="32"/>
          <w:szCs w:val="32"/>
        </w:rPr>
        <w:t>。</w:t>
      </w:r>
    </w:p>
    <w:p>
      <w:pPr>
        <w:ind w:firstLine="643" w:firstLineChars="200"/>
        <w:rPr>
          <w:rFonts w:ascii="仿宋" w:hAnsi="仿宋" w:eastAsia="仿宋" w:cs="Times New Roman"/>
          <w:b/>
          <w:sz w:val="32"/>
          <w:szCs w:val="32"/>
        </w:rPr>
      </w:pPr>
      <w:r>
        <w:rPr>
          <w:rFonts w:hint="eastAsia" w:ascii="仿宋" w:hAnsi="仿宋" w:eastAsia="仿宋" w:cs="Times New Roman"/>
          <w:b/>
          <w:sz w:val="32"/>
          <w:szCs w:val="32"/>
        </w:rPr>
        <w:t>机构设置：</w:t>
      </w:r>
    </w:p>
    <w:p>
      <w:pPr>
        <w:jc w:val="center"/>
        <w:outlineLvl w:val="0"/>
        <w:rPr>
          <w:rFonts w:ascii="Times New Roman" w:hAnsi="Times New Roman" w:eastAsia="方正小标宋_GBK" w:cs="Times New Roman"/>
          <w:sz w:val="32"/>
          <w:szCs w:val="24"/>
        </w:rPr>
      </w:pPr>
      <w:r>
        <w:rPr>
          <w:rFonts w:ascii="Times New Roman" w:hAnsi="Times New Roman" w:eastAsia="方正小标宋_GBK" w:cs="Times New Roman"/>
          <w:sz w:val="32"/>
          <w:szCs w:val="24"/>
        </w:rPr>
        <w:t>部门</w:t>
      </w:r>
      <w:r>
        <w:rPr>
          <w:rFonts w:hint="eastAsia" w:ascii="Times New Roman" w:hAnsi="Times New Roman" w:eastAsia="方正小标宋_GBK" w:cs="Times New Roman"/>
          <w:sz w:val="32"/>
          <w:szCs w:val="24"/>
        </w:rPr>
        <w:t>机构设置情况</w:t>
      </w:r>
    </w:p>
    <w:tbl>
      <w:tblPr>
        <w:tblStyle w:val="7"/>
        <w:tblW w:w="972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415"/>
        <w:gridCol w:w="2136"/>
        <w:gridCol w:w="1276"/>
        <w:gridCol w:w="290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3415" w:type="dxa"/>
            <w:vMerge w:val="restart"/>
            <w:vAlign w:val="center"/>
          </w:tcPr>
          <w:p>
            <w:pPr>
              <w:spacing w:line="300" w:lineRule="exact"/>
              <w:jc w:val="center"/>
              <w:rPr>
                <w:rFonts w:ascii="Times New Roman" w:hAnsi="Times New Roman" w:eastAsia="方正书宋_GBK" w:cs="Times New Roman"/>
                <w:b/>
                <w:szCs w:val="24"/>
              </w:rPr>
            </w:pPr>
            <w:r>
              <w:rPr>
                <w:rFonts w:ascii="Times New Roman" w:hAnsi="Times New Roman" w:eastAsia="方正书宋_GBK" w:cs="Times New Roman"/>
                <w:b/>
                <w:szCs w:val="24"/>
              </w:rPr>
              <w:t>单位名称</w:t>
            </w:r>
          </w:p>
        </w:tc>
        <w:tc>
          <w:tcPr>
            <w:tcW w:w="2136" w:type="dxa"/>
            <w:vMerge w:val="restart"/>
            <w:vAlign w:val="center"/>
          </w:tcPr>
          <w:p>
            <w:pPr>
              <w:spacing w:line="300" w:lineRule="exact"/>
              <w:jc w:val="center"/>
              <w:rPr>
                <w:rFonts w:ascii="Times New Roman" w:hAnsi="Times New Roman" w:eastAsia="方正书宋_GBK" w:cs="Times New Roman"/>
                <w:b/>
                <w:szCs w:val="24"/>
              </w:rPr>
            </w:pPr>
            <w:r>
              <w:rPr>
                <w:rFonts w:ascii="Times New Roman" w:hAnsi="Times New Roman" w:eastAsia="方正书宋_GBK" w:cs="Times New Roman"/>
                <w:b/>
                <w:szCs w:val="24"/>
              </w:rPr>
              <w:t>单位性质</w:t>
            </w:r>
          </w:p>
        </w:tc>
        <w:tc>
          <w:tcPr>
            <w:tcW w:w="1276" w:type="dxa"/>
            <w:vMerge w:val="restart"/>
            <w:vAlign w:val="center"/>
          </w:tcPr>
          <w:p>
            <w:pPr>
              <w:spacing w:line="300" w:lineRule="exact"/>
              <w:jc w:val="center"/>
              <w:rPr>
                <w:rFonts w:ascii="Times New Roman" w:hAnsi="Times New Roman" w:eastAsia="方正书宋_GBK" w:cs="Times New Roman"/>
                <w:b/>
                <w:szCs w:val="24"/>
              </w:rPr>
            </w:pPr>
            <w:r>
              <w:rPr>
                <w:rFonts w:ascii="Times New Roman" w:hAnsi="Times New Roman" w:eastAsia="方正书宋_GBK" w:cs="Times New Roman"/>
                <w:b/>
                <w:szCs w:val="24"/>
              </w:rPr>
              <w:t>单位规格</w:t>
            </w:r>
          </w:p>
        </w:tc>
        <w:tc>
          <w:tcPr>
            <w:tcW w:w="2902" w:type="dxa"/>
            <w:vMerge w:val="restart"/>
            <w:vAlign w:val="center"/>
          </w:tcPr>
          <w:p>
            <w:pPr>
              <w:spacing w:line="300" w:lineRule="exact"/>
              <w:jc w:val="center"/>
              <w:rPr>
                <w:rFonts w:ascii="Times New Roman" w:hAnsi="Times New Roman" w:eastAsia="方正书宋_GBK" w:cs="Times New Roman"/>
                <w:b/>
                <w:szCs w:val="24"/>
              </w:rPr>
            </w:pPr>
            <w:r>
              <w:rPr>
                <w:rFonts w:ascii="Times New Roman" w:hAnsi="Times New Roman" w:eastAsia="方正书宋_GBK" w:cs="Times New Roman"/>
                <w:b/>
                <w:szCs w:val="24"/>
              </w:rPr>
              <w:t>经费保障形式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3415" w:type="dxa"/>
            <w:vMerge w:val="continue"/>
            <w:vAlign w:val="center"/>
          </w:tcPr>
          <w:p>
            <w:pPr>
              <w:spacing w:line="300" w:lineRule="exact"/>
              <w:jc w:val="left"/>
              <w:outlineLvl w:val="0"/>
              <w:rPr>
                <w:rFonts w:ascii="Times New Roman" w:hAnsi="Times New Roman" w:cs="Times New Roman"/>
                <w:szCs w:val="24"/>
              </w:rPr>
            </w:pPr>
          </w:p>
        </w:tc>
        <w:tc>
          <w:tcPr>
            <w:tcW w:w="2136" w:type="dxa"/>
            <w:vMerge w:val="continue"/>
            <w:vAlign w:val="center"/>
          </w:tcPr>
          <w:p>
            <w:pPr>
              <w:spacing w:line="300" w:lineRule="exact"/>
              <w:jc w:val="left"/>
              <w:outlineLvl w:val="0"/>
              <w:rPr>
                <w:rFonts w:ascii="Times New Roman" w:hAnsi="Times New Roman" w:cs="Times New Roman"/>
                <w:szCs w:val="24"/>
              </w:rPr>
            </w:pPr>
          </w:p>
        </w:tc>
        <w:tc>
          <w:tcPr>
            <w:tcW w:w="1276" w:type="dxa"/>
            <w:vMerge w:val="continue"/>
            <w:vAlign w:val="center"/>
          </w:tcPr>
          <w:p>
            <w:pPr>
              <w:spacing w:line="300" w:lineRule="exact"/>
              <w:jc w:val="left"/>
              <w:outlineLvl w:val="0"/>
              <w:rPr>
                <w:rFonts w:ascii="Times New Roman" w:hAnsi="Times New Roman" w:cs="Times New Roman"/>
                <w:szCs w:val="24"/>
              </w:rPr>
            </w:pPr>
          </w:p>
        </w:tc>
        <w:tc>
          <w:tcPr>
            <w:tcW w:w="2902" w:type="dxa"/>
            <w:vMerge w:val="continue"/>
            <w:vAlign w:val="center"/>
          </w:tcPr>
          <w:p>
            <w:pPr>
              <w:spacing w:line="300" w:lineRule="exact"/>
              <w:jc w:val="left"/>
              <w:outlineLvl w:val="0"/>
              <w:rPr>
                <w:rFonts w:ascii="Times New Roman" w:hAnsi="Times New Roman" w:cs="Times New Roman"/>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3415" w:type="dxa"/>
            <w:vAlign w:val="center"/>
          </w:tcPr>
          <w:p>
            <w:pPr>
              <w:spacing w:line="300" w:lineRule="exact"/>
              <w:jc w:val="left"/>
              <w:rPr>
                <w:rFonts w:ascii="Times New Roman" w:hAnsi="Times New Roman" w:eastAsia="方正书宋_GBK" w:cs="Times New Roman"/>
                <w:szCs w:val="24"/>
              </w:rPr>
            </w:pPr>
            <w:r>
              <w:rPr>
                <w:rFonts w:hint="eastAsia" w:ascii="方正书宋_GBK" w:eastAsia="方正书宋_GBK"/>
              </w:rPr>
              <w:t>承德市社会科学界联合会</w:t>
            </w:r>
          </w:p>
        </w:tc>
        <w:tc>
          <w:tcPr>
            <w:tcW w:w="2136" w:type="dxa"/>
            <w:vAlign w:val="center"/>
          </w:tcPr>
          <w:p>
            <w:pPr>
              <w:spacing w:line="300" w:lineRule="exact"/>
              <w:jc w:val="center"/>
              <w:rPr>
                <w:rFonts w:hint="eastAsia" w:ascii="Times New Roman" w:hAnsi="Times New Roman" w:eastAsia="方正书宋_GBK" w:cs="Times New Roman"/>
                <w:szCs w:val="24"/>
                <w:lang w:eastAsia="zh-CN"/>
              </w:rPr>
            </w:pPr>
            <w:r>
              <w:rPr>
                <w:rFonts w:hint="eastAsia" w:ascii="方正书宋_GBK" w:eastAsia="方正书宋_GBK"/>
                <w:lang w:eastAsia="zh-CN"/>
              </w:rPr>
              <w:t>行政</w:t>
            </w:r>
          </w:p>
        </w:tc>
        <w:tc>
          <w:tcPr>
            <w:tcW w:w="1276" w:type="dxa"/>
            <w:vAlign w:val="center"/>
          </w:tcPr>
          <w:p>
            <w:pPr>
              <w:spacing w:line="300" w:lineRule="exact"/>
              <w:jc w:val="center"/>
              <w:rPr>
                <w:rFonts w:ascii="Times New Roman" w:hAnsi="Times New Roman" w:eastAsia="方正书宋_GBK" w:cs="Times New Roman"/>
                <w:szCs w:val="24"/>
              </w:rPr>
            </w:pPr>
            <w:r>
              <w:rPr>
                <w:rFonts w:hint="eastAsia" w:ascii="Times New Roman" w:hAnsi="Times New Roman" w:eastAsia="方正书宋_GBK" w:cs="Times New Roman"/>
                <w:szCs w:val="24"/>
              </w:rPr>
              <w:t>正处级</w:t>
            </w:r>
          </w:p>
        </w:tc>
        <w:tc>
          <w:tcPr>
            <w:tcW w:w="2902" w:type="dxa"/>
            <w:vAlign w:val="center"/>
          </w:tcPr>
          <w:p>
            <w:pPr>
              <w:spacing w:line="300" w:lineRule="exact"/>
              <w:jc w:val="center"/>
              <w:rPr>
                <w:rFonts w:ascii="Times New Roman" w:hAnsi="Times New Roman" w:eastAsia="方正书宋_GBK" w:cs="Times New Roman"/>
                <w:szCs w:val="24"/>
              </w:rPr>
            </w:pPr>
            <w:r>
              <w:rPr>
                <w:rFonts w:hint="eastAsia" w:ascii="方正书宋_GBK" w:eastAsia="方正书宋_GBK"/>
              </w:rPr>
              <w:t>财政拨款</w:t>
            </w:r>
          </w:p>
        </w:tc>
      </w:tr>
    </w:tbl>
    <w:p>
      <w:pPr>
        <w:ind w:firstLine="640"/>
        <w:rPr>
          <w:rFonts w:ascii="黑体" w:hAnsi="黑体" w:eastAsia="黑体" w:cs="Times New Roman"/>
          <w:sz w:val="32"/>
          <w:szCs w:val="32"/>
        </w:rPr>
      </w:pPr>
      <w:r>
        <w:rPr>
          <w:rFonts w:hint="eastAsia" w:ascii="黑体" w:hAnsi="黑体" w:eastAsia="黑体" w:cs="Times New Roman"/>
          <w:sz w:val="32"/>
          <w:szCs w:val="32"/>
        </w:rPr>
        <w:t>二、部门预算安排的总体情况</w:t>
      </w:r>
    </w:p>
    <w:p>
      <w:pPr>
        <w:ind w:firstLine="640"/>
        <w:rPr>
          <w:rFonts w:hint="eastAsia" w:ascii="仿宋" w:hAnsi="仿宋" w:eastAsia="仿宋" w:cs="仿宋"/>
          <w:sz w:val="32"/>
          <w:szCs w:val="32"/>
          <w:lang w:eastAsia="zh-CN"/>
        </w:rPr>
      </w:pPr>
      <w:r>
        <w:rPr>
          <w:rFonts w:hint="eastAsia" w:ascii="仿宋" w:hAnsi="仿宋" w:eastAsia="仿宋" w:cs="仿宋"/>
          <w:sz w:val="32"/>
          <w:szCs w:val="32"/>
        </w:rPr>
        <w:t>按照预算管理有关规定，目前我省部门预算的编制实行综合预算制度，即全部收入和支出都反映的预算中。</w:t>
      </w:r>
      <w:r>
        <w:rPr>
          <w:rFonts w:hint="eastAsia" w:ascii="仿宋" w:hAnsi="仿宋" w:eastAsia="仿宋" w:cs="仿宋"/>
          <w:sz w:val="32"/>
          <w:szCs w:val="32"/>
          <w:lang w:eastAsia="zh-CN"/>
        </w:rPr>
        <w:t>市社科联无下属单位，所以收支只包含本部门预算。</w:t>
      </w:r>
    </w:p>
    <w:p>
      <w:pPr>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1、</w:t>
      </w:r>
      <w:r>
        <w:rPr>
          <w:rFonts w:ascii="Times New Roman" w:hAnsi="Times New Roman" w:eastAsia="方正仿宋_GBK" w:cs="Times New Roman"/>
          <w:sz w:val="32"/>
          <w:szCs w:val="32"/>
        </w:rPr>
        <w:t>收入说明</w:t>
      </w:r>
      <w:r>
        <w:rPr>
          <w:rFonts w:hint="eastAsia" w:ascii="Times New Roman" w:hAnsi="Times New Roman" w:eastAsia="方正仿宋_GBK" w:cs="Times New Roman"/>
          <w:sz w:val="32"/>
          <w:szCs w:val="32"/>
        </w:rPr>
        <w:t xml:space="preserve"> </w:t>
      </w:r>
    </w:p>
    <w:p>
      <w:pPr>
        <w:ind w:firstLine="640" w:firstLineChars="200"/>
        <w:rPr>
          <w:rFonts w:ascii="Times New Roman" w:hAnsi="Times New Roman" w:eastAsia="方正仿宋_GBK" w:cs="Times New Roman"/>
          <w:sz w:val="32"/>
          <w:szCs w:val="32"/>
        </w:rPr>
      </w:pPr>
      <w:r>
        <w:rPr>
          <w:rFonts w:hint="eastAsia" w:ascii="仿宋_GB2312" w:hAnsi="仿宋_GB2312" w:eastAsia="仿宋_GB2312" w:cs="仿宋_GB2312"/>
          <w:sz w:val="32"/>
          <w:szCs w:val="32"/>
        </w:rPr>
        <w:t>反映本部门当年全部收入，20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年预算收入</w:t>
      </w:r>
      <w:r>
        <w:rPr>
          <w:rFonts w:hint="eastAsia" w:ascii="仿宋_GB2312" w:hAnsi="仿宋_GB2312" w:eastAsia="仿宋_GB2312" w:cs="仿宋_GB2312"/>
          <w:color w:val="auto"/>
          <w:sz w:val="32"/>
          <w:szCs w:val="32"/>
          <w:lang w:val="en-US" w:eastAsia="zh-CN"/>
        </w:rPr>
        <w:t>205.26</w:t>
      </w:r>
      <w:r>
        <w:rPr>
          <w:rFonts w:hint="eastAsia" w:ascii="仿宋_GB2312" w:hAnsi="仿宋_GB2312" w:eastAsia="仿宋_GB2312" w:cs="仿宋_GB2312"/>
          <w:sz w:val="32"/>
          <w:szCs w:val="32"/>
        </w:rPr>
        <w:t>万元，其中：非限额补助</w:t>
      </w:r>
      <w:r>
        <w:rPr>
          <w:rFonts w:hint="eastAsia" w:ascii="仿宋_GB2312" w:hAnsi="仿宋_GB2312" w:eastAsia="仿宋_GB2312" w:cs="仿宋_GB2312"/>
          <w:color w:val="auto"/>
          <w:sz w:val="32"/>
          <w:szCs w:val="32"/>
          <w:lang w:val="en-US" w:eastAsia="zh-CN"/>
        </w:rPr>
        <w:t>205.26</w:t>
      </w:r>
      <w:r>
        <w:rPr>
          <w:rFonts w:hint="eastAsia" w:ascii="仿宋_GB2312" w:hAnsi="仿宋_GB2312" w:eastAsia="仿宋_GB2312" w:cs="仿宋_GB2312"/>
          <w:sz w:val="32"/>
          <w:szCs w:val="32"/>
        </w:rPr>
        <w:t>万元。</w:t>
      </w:r>
    </w:p>
    <w:p>
      <w:pPr>
        <w:numPr>
          <w:ilvl w:val="0"/>
          <w:numId w:val="1"/>
        </w:numPr>
        <w:ind w:firstLine="640"/>
        <w:rPr>
          <w:rFonts w:ascii="Times New Roman" w:hAnsi="Times New Roman" w:eastAsia="方正仿宋_GBK" w:cs="Times New Roman"/>
          <w:sz w:val="32"/>
          <w:szCs w:val="32"/>
        </w:rPr>
      </w:pPr>
      <w:r>
        <w:rPr>
          <w:rFonts w:ascii="Times New Roman" w:hAnsi="Times New Roman" w:eastAsia="方正仿宋_GBK" w:cs="Times New Roman"/>
          <w:sz w:val="32"/>
          <w:szCs w:val="32"/>
        </w:rPr>
        <w:t>支出说明</w:t>
      </w:r>
    </w:p>
    <w:p>
      <w:pPr>
        <w:rPr>
          <w:rFonts w:ascii="仿宋_GB2312" w:hAnsi="仿宋_GB2312" w:eastAsia="仿宋_GB2312" w:cs="仿宋_GB2312"/>
          <w:sz w:val="32"/>
          <w:szCs w:val="32"/>
        </w:rPr>
      </w:pPr>
      <w:r>
        <w:rPr>
          <w:rFonts w:hint="eastAsia" w:ascii="Times New Roman" w:hAnsi="Times New Roman" w:eastAsia="方正仿宋_GBK" w:cs="Times New Roman"/>
          <w:sz w:val="32"/>
          <w:szCs w:val="32"/>
        </w:rPr>
        <w:t xml:space="preserve">    </w:t>
      </w:r>
      <w:r>
        <w:rPr>
          <w:rFonts w:hint="eastAsia" w:ascii="仿宋_GB2312" w:hAnsi="仿宋_GB2312" w:eastAsia="仿宋_GB2312" w:cs="仿宋_GB2312"/>
          <w:sz w:val="32"/>
          <w:szCs w:val="32"/>
        </w:rPr>
        <w:t xml:space="preserve"> 收支预算总表支出栏、基本支出表、项目支出表按经济分类和支出功能分类科目编制，反映承德市社会科学界联合会年度部门预算中支出预算的总体情况。20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年部门支出预算为</w:t>
      </w:r>
      <w:r>
        <w:rPr>
          <w:rFonts w:hint="eastAsia" w:ascii="仿宋_GB2312" w:hAnsi="仿宋_GB2312" w:eastAsia="仿宋_GB2312" w:cs="仿宋_GB2312"/>
          <w:sz w:val="32"/>
          <w:szCs w:val="32"/>
          <w:lang w:val="en-US" w:eastAsia="zh-CN"/>
        </w:rPr>
        <w:t>205.26</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152.26</w:t>
      </w:r>
      <w:r>
        <w:rPr>
          <w:rFonts w:hint="eastAsia" w:ascii="仿宋_GB2312" w:hAnsi="仿宋_GB2312" w:eastAsia="仿宋_GB2312" w:cs="仿宋_GB2312"/>
          <w:sz w:val="32"/>
          <w:szCs w:val="32"/>
        </w:rPr>
        <w:t>万元，包括人员经费1</w:t>
      </w:r>
      <w:r>
        <w:rPr>
          <w:rFonts w:hint="eastAsia" w:ascii="仿宋_GB2312" w:hAnsi="仿宋_GB2312" w:eastAsia="仿宋_GB2312" w:cs="仿宋_GB2312"/>
          <w:sz w:val="32"/>
          <w:szCs w:val="32"/>
          <w:lang w:val="en-US" w:eastAsia="zh-CN"/>
        </w:rPr>
        <w:t>34.89</w:t>
      </w:r>
      <w:r>
        <w:rPr>
          <w:rFonts w:hint="eastAsia" w:ascii="仿宋_GB2312" w:hAnsi="仿宋_GB2312" w:eastAsia="仿宋_GB2312" w:cs="仿宋_GB2312"/>
          <w:sz w:val="32"/>
          <w:szCs w:val="32"/>
        </w:rPr>
        <w:t>万元和日常公用经费1</w:t>
      </w:r>
      <w:r>
        <w:rPr>
          <w:rFonts w:hint="eastAsia" w:ascii="仿宋_GB2312" w:hAnsi="仿宋_GB2312" w:eastAsia="仿宋_GB2312" w:cs="仿宋_GB2312"/>
          <w:sz w:val="32"/>
          <w:szCs w:val="32"/>
          <w:lang w:val="en-US" w:eastAsia="zh-CN"/>
        </w:rPr>
        <w:t>7.37</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53</w:t>
      </w:r>
      <w:r>
        <w:rPr>
          <w:rFonts w:hint="eastAsia" w:ascii="仿宋_GB2312" w:hAnsi="仿宋_GB2312" w:eastAsia="仿宋_GB2312" w:cs="仿宋_GB2312"/>
          <w:sz w:val="32"/>
          <w:szCs w:val="32"/>
        </w:rPr>
        <w:t>万元，全部为本级支出。</w:t>
      </w:r>
    </w:p>
    <w:p>
      <w:pPr>
        <w:numPr>
          <w:ilvl w:val="0"/>
          <w:numId w:val="1"/>
        </w:numPr>
        <w:ind w:firstLine="640"/>
        <w:rPr>
          <w:rFonts w:ascii="Times New Roman" w:hAnsi="Times New Roman" w:eastAsia="方正仿宋_GBK" w:cs="Times New Roman"/>
          <w:sz w:val="32"/>
          <w:szCs w:val="32"/>
        </w:rPr>
      </w:pPr>
      <w:r>
        <w:rPr>
          <w:rFonts w:ascii="Times New Roman" w:hAnsi="Times New Roman" w:eastAsia="方正仿宋_GBK" w:cs="Times New Roman"/>
          <w:sz w:val="32"/>
          <w:szCs w:val="32"/>
        </w:rPr>
        <w:t>比上年增减情况</w:t>
      </w:r>
    </w:p>
    <w:p>
      <w:pPr>
        <w:rPr>
          <w:rFonts w:ascii="仿宋_GB2312" w:hAnsi="仿宋_GB2312" w:eastAsia="仿宋_GB2312" w:cs="仿宋_GB2312"/>
          <w:sz w:val="32"/>
          <w:szCs w:val="32"/>
        </w:rPr>
      </w:pPr>
      <w:r>
        <w:rPr>
          <w:rFonts w:hint="eastAsia" w:ascii="Times New Roman" w:hAnsi="Times New Roman" w:eastAsia="方正仿宋_GBK" w:cs="Times New Roman"/>
          <w:sz w:val="32"/>
          <w:szCs w:val="32"/>
        </w:rPr>
        <w:t xml:space="preserve">   </w:t>
      </w:r>
      <w:r>
        <w:rPr>
          <w:rFonts w:hint="eastAsia" w:ascii="仿宋_GB2312" w:hAnsi="仿宋_GB2312" w:eastAsia="仿宋_GB2312" w:cs="仿宋_GB2312"/>
          <w:sz w:val="32"/>
          <w:szCs w:val="32"/>
        </w:rPr>
        <w:t xml:space="preserve"> 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年部门预算较201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38.82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增加23.3%，</w:t>
      </w:r>
      <w:r>
        <w:rPr>
          <w:rFonts w:hint="eastAsia" w:ascii="仿宋_GB2312" w:hAnsi="仿宋_GB2312" w:eastAsia="仿宋_GB2312" w:cs="仿宋_GB2312"/>
          <w:sz w:val="32"/>
          <w:szCs w:val="32"/>
        </w:rPr>
        <w:t>其中：项目支出</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增加了</w:t>
      </w:r>
      <w:r>
        <w:rPr>
          <w:rFonts w:hint="eastAsia" w:ascii="仿宋_GB2312" w:hAnsi="仿宋_GB2312" w:eastAsia="仿宋_GB2312" w:cs="仿宋_GB2312"/>
          <w:sz w:val="32"/>
          <w:szCs w:val="32"/>
          <w:lang w:val="en-US" w:eastAsia="zh-CN"/>
        </w:rPr>
        <w:t>76.67%，</w:t>
      </w:r>
      <w:r>
        <w:rPr>
          <w:rFonts w:hint="eastAsia" w:ascii="仿宋_GB2312" w:hAnsi="仿宋_GB2312" w:eastAsia="仿宋_GB2312" w:cs="仿宋_GB2312"/>
          <w:sz w:val="32"/>
          <w:szCs w:val="32"/>
        </w:rPr>
        <w:t>主要是</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rPr>
        <w:t>了两年一次的承德市社会科学优秀成果评奖经费的预算</w:t>
      </w:r>
      <w:r>
        <w:rPr>
          <w:rFonts w:hint="eastAsia" w:ascii="仿宋_GB2312" w:hAnsi="仿宋_GB2312" w:eastAsia="仿宋_GB2312" w:cs="仿宋_GB2312"/>
          <w:sz w:val="32"/>
          <w:szCs w:val="32"/>
          <w:lang w:eastAsia="zh-CN"/>
        </w:rPr>
        <w:t>和增加</w:t>
      </w:r>
      <w:r>
        <w:rPr>
          <w:rFonts w:hint="eastAsia" w:ascii="仿宋_GB2312" w:hAnsi="仿宋_GB2312" w:eastAsia="仿宋_GB2312" w:cs="仿宋_GB2312"/>
          <w:sz w:val="32"/>
          <w:szCs w:val="32"/>
          <w:lang w:val="en-US" w:eastAsia="zh-CN"/>
        </w:rPr>
        <w:t>2名工作</w:t>
      </w:r>
      <w:r>
        <w:rPr>
          <w:rFonts w:hint="eastAsia" w:ascii="仿宋_GB2312" w:hAnsi="仿宋_GB2312" w:eastAsia="仿宋_GB2312" w:cs="仿宋_GB2312"/>
          <w:sz w:val="32"/>
          <w:szCs w:val="32"/>
          <w:lang w:eastAsia="zh-CN"/>
        </w:rPr>
        <w:t>人员经费</w:t>
      </w:r>
      <w:r>
        <w:rPr>
          <w:rFonts w:hint="eastAsia" w:ascii="仿宋_GB2312" w:hAnsi="仿宋_GB2312" w:eastAsia="仿宋_GB2312" w:cs="仿宋_GB2312"/>
          <w:sz w:val="32"/>
          <w:szCs w:val="32"/>
        </w:rPr>
        <w:t>。</w:t>
      </w:r>
    </w:p>
    <w:p>
      <w:pPr>
        <w:autoSpaceDE w:val="0"/>
        <w:autoSpaceDN w:val="0"/>
        <w:adjustRightInd w:val="0"/>
        <w:ind w:firstLine="640" w:firstLineChars="200"/>
        <w:jc w:val="left"/>
        <w:rPr>
          <w:rFonts w:ascii="黑体" w:hAnsi="黑体" w:eastAsia="黑体" w:cs="Times New Roman"/>
          <w:color w:val="auto"/>
          <w:sz w:val="32"/>
          <w:szCs w:val="32"/>
        </w:rPr>
      </w:pPr>
      <w:r>
        <w:rPr>
          <w:rFonts w:hint="eastAsia" w:ascii="黑体" w:hAnsi="黑体" w:eastAsia="黑体" w:cs="Times New Roman"/>
          <w:color w:val="auto"/>
          <w:sz w:val="32"/>
          <w:szCs w:val="32"/>
        </w:rPr>
        <w:t>三、机关运行经费安排情况</w:t>
      </w:r>
    </w:p>
    <w:p>
      <w:pPr>
        <w:autoSpaceDE w:val="0"/>
        <w:autoSpaceDN w:val="0"/>
        <w:adjustRightInd w:val="0"/>
        <w:ind w:left="198" w:firstLine="640" w:firstLineChars="200"/>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机关运行经费共计安排</w:t>
      </w:r>
      <w:r>
        <w:rPr>
          <w:rFonts w:hint="eastAsia" w:ascii="仿宋_GB2312" w:hAnsi="仿宋_GB2312" w:eastAsia="仿宋_GB2312" w:cs="仿宋_GB2312"/>
          <w:color w:val="auto"/>
          <w:sz w:val="32"/>
          <w:szCs w:val="32"/>
          <w:lang w:val="en-US" w:eastAsia="zh-CN"/>
        </w:rPr>
        <w:t>17.37</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其中办公费</w:t>
      </w:r>
      <w:r>
        <w:rPr>
          <w:rFonts w:hint="eastAsia" w:ascii="仿宋_GB2312" w:hAnsi="仿宋_GB2312" w:eastAsia="仿宋_GB2312" w:cs="仿宋_GB2312"/>
          <w:color w:val="auto"/>
          <w:sz w:val="32"/>
          <w:szCs w:val="32"/>
          <w:lang w:val="en-US" w:eastAsia="zh-CN"/>
        </w:rPr>
        <w:t>1.74</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邮电费</w:t>
      </w:r>
      <w:r>
        <w:rPr>
          <w:rFonts w:hint="eastAsia" w:ascii="仿宋_GB2312" w:hAnsi="仿宋_GB2312" w:eastAsia="仿宋_GB2312" w:cs="仿宋_GB2312"/>
          <w:color w:val="auto"/>
          <w:sz w:val="32"/>
          <w:szCs w:val="32"/>
          <w:lang w:val="en-US" w:eastAsia="zh-CN"/>
        </w:rPr>
        <w:t>3.77</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差旅费</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万元、工会经费</w:t>
      </w:r>
      <w:r>
        <w:rPr>
          <w:rFonts w:hint="eastAsia" w:ascii="仿宋_GB2312" w:hAnsi="仿宋_GB2312" w:eastAsia="仿宋_GB2312" w:cs="仿宋_GB2312"/>
          <w:color w:val="auto"/>
          <w:sz w:val="32"/>
          <w:szCs w:val="32"/>
          <w:lang w:val="en-US" w:eastAsia="zh-CN"/>
        </w:rPr>
        <w:t>0.78</w:t>
      </w:r>
      <w:r>
        <w:rPr>
          <w:rFonts w:hint="eastAsia" w:ascii="仿宋_GB2312" w:hAnsi="仿宋_GB2312" w:eastAsia="仿宋_GB2312" w:cs="仿宋_GB2312"/>
          <w:color w:val="auto"/>
          <w:sz w:val="32"/>
          <w:szCs w:val="32"/>
        </w:rPr>
        <w:t>万元、福利费</w:t>
      </w:r>
      <w:r>
        <w:rPr>
          <w:rFonts w:hint="eastAsia" w:ascii="仿宋_GB2312" w:hAnsi="仿宋_GB2312" w:eastAsia="仿宋_GB2312" w:cs="仿宋_GB2312"/>
          <w:color w:val="auto"/>
          <w:sz w:val="32"/>
          <w:szCs w:val="32"/>
          <w:lang w:val="en-US" w:eastAsia="zh-CN"/>
        </w:rPr>
        <w:t>0.91</w:t>
      </w:r>
      <w:r>
        <w:rPr>
          <w:rFonts w:hint="eastAsia" w:ascii="仿宋_GB2312" w:hAnsi="仿宋_GB2312" w:eastAsia="仿宋_GB2312" w:cs="仿宋_GB2312"/>
          <w:color w:val="auto"/>
          <w:sz w:val="32"/>
          <w:szCs w:val="32"/>
        </w:rPr>
        <w:t>万元、公务接待费</w:t>
      </w:r>
      <w:r>
        <w:rPr>
          <w:rFonts w:hint="eastAsia" w:ascii="仿宋_GB2312" w:hAnsi="仿宋_GB2312" w:eastAsia="仿宋_GB2312" w:cs="仿宋_GB2312"/>
          <w:color w:val="auto"/>
          <w:sz w:val="32"/>
          <w:szCs w:val="32"/>
          <w:lang w:val="en-US" w:eastAsia="zh-CN"/>
        </w:rPr>
        <w:t>0.11</w:t>
      </w:r>
      <w:r>
        <w:rPr>
          <w:rFonts w:hint="eastAsia" w:ascii="仿宋_GB2312" w:hAnsi="仿宋_GB2312" w:eastAsia="仿宋_GB2312" w:cs="仿宋_GB2312"/>
          <w:color w:val="auto"/>
          <w:sz w:val="32"/>
          <w:szCs w:val="32"/>
        </w:rPr>
        <w:t>万元、其他交通费用</w:t>
      </w:r>
      <w:r>
        <w:rPr>
          <w:rFonts w:hint="eastAsia" w:ascii="仿宋_GB2312" w:hAnsi="仿宋_GB2312" w:eastAsia="仿宋_GB2312" w:cs="仿宋_GB2312"/>
          <w:color w:val="auto"/>
          <w:sz w:val="32"/>
          <w:szCs w:val="32"/>
          <w:lang w:val="en-US" w:eastAsia="zh-CN"/>
        </w:rPr>
        <w:t>6.23</w:t>
      </w:r>
      <w:r>
        <w:rPr>
          <w:rFonts w:hint="eastAsia" w:ascii="仿宋_GB2312" w:hAnsi="仿宋_GB2312" w:eastAsia="仿宋_GB2312" w:cs="仿宋_GB2312"/>
          <w:color w:val="auto"/>
          <w:sz w:val="32"/>
          <w:szCs w:val="32"/>
        </w:rPr>
        <w:t>万元、公务车运行维护费</w:t>
      </w:r>
      <w:r>
        <w:rPr>
          <w:rFonts w:hint="eastAsia" w:ascii="仿宋_GB2312" w:hAnsi="仿宋_GB2312" w:eastAsia="仿宋_GB2312" w:cs="仿宋_GB2312"/>
          <w:color w:val="auto"/>
          <w:sz w:val="32"/>
          <w:szCs w:val="32"/>
          <w:lang w:val="en-US" w:eastAsia="zh-CN"/>
        </w:rPr>
        <w:t>0.70</w:t>
      </w:r>
      <w:r>
        <w:rPr>
          <w:rFonts w:hint="eastAsia" w:ascii="仿宋_GB2312" w:hAnsi="仿宋_GB2312" w:eastAsia="仿宋_GB2312" w:cs="仿宋_GB2312"/>
          <w:color w:val="auto"/>
          <w:sz w:val="32"/>
          <w:szCs w:val="32"/>
        </w:rPr>
        <w:t>万元以及其他商品和服务支出</w:t>
      </w:r>
      <w:r>
        <w:rPr>
          <w:rFonts w:hint="eastAsia" w:ascii="仿宋_GB2312" w:hAnsi="仿宋_GB2312" w:eastAsia="仿宋_GB2312" w:cs="仿宋_GB2312"/>
          <w:color w:val="auto"/>
          <w:sz w:val="32"/>
          <w:szCs w:val="32"/>
          <w:lang w:val="en-US" w:eastAsia="zh-CN"/>
        </w:rPr>
        <w:t>1.93</w:t>
      </w:r>
      <w:r>
        <w:rPr>
          <w:rFonts w:hint="eastAsia" w:ascii="仿宋_GB2312" w:hAnsi="仿宋_GB2312" w:eastAsia="仿宋_GB2312" w:cs="仿宋_GB2312"/>
          <w:color w:val="auto"/>
          <w:sz w:val="32"/>
          <w:szCs w:val="32"/>
        </w:rPr>
        <w:t>万元。</w:t>
      </w:r>
    </w:p>
    <w:p>
      <w:pPr>
        <w:autoSpaceDE w:val="0"/>
        <w:autoSpaceDN w:val="0"/>
        <w:adjustRightInd w:val="0"/>
        <w:jc w:val="left"/>
        <w:rPr>
          <w:rFonts w:ascii="黑体" w:hAnsi="黑体" w:eastAsia="黑体" w:cs="Times New Roman"/>
          <w:color w:val="auto"/>
          <w:sz w:val="32"/>
          <w:szCs w:val="32"/>
        </w:rPr>
      </w:pPr>
      <w:r>
        <w:rPr>
          <w:rFonts w:hint="eastAsia" w:ascii="黑体" w:hAnsi="黑体" w:eastAsia="黑体" w:cs="Times New Roman"/>
          <w:color w:val="FF0000"/>
          <w:sz w:val="32"/>
          <w:szCs w:val="32"/>
        </w:rPr>
        <w:t xml:space="preserve">  </w:t>
      </w:r>
      <w:r>
        <w:rPr>
          <w:rFonts w:hint="eastAsia" w:ascii="黑体" w:hAnsi="黑体" w:eastAsia="黑体" w:cs="Times New Roman"/>
          <w:color w:val="auto"/>
          <w:sz w:val="32"/>
          <w:szCs w:val="32"/>
        </w:rPr>
        <w:t xml:space="preserve">  四、财政拨款</w:t>
      </w:r>
      <w:r>
        <w:rPr>
          <w:rFonts w:ascii="黑体" w:hAnsi="黑体" w:eastAsia="黑体" w:cs="Times New Roman"/>
          <w:color w:val="auto"/>
          <w:sz w:val="32"/>
          <w:szCs w:val="32"/>
        </w:rPr>
        <w:t>“</w:t>
      </w:r>
      <w:r>
        <w:rPr>
          <w:rFonts w:hint="eastAsia" w:ascii="黑体" w:hAnsi="黑体" w:eastAsia="黑体" w:cs="Times New Roman"/>
          <w:color w:val="auto"/>
          <w:sz w:val="32"/>
          <w:szCs w:val="32"/>
        </w:rPr>
        <w:t>三公</w:t>
      </w:r>
      <w:r>
        <w:rPr>
          <w:rFonts w:ascii="黑体" w:hAnsi="黑体" w:eastAsia="黑体" w:cs="Times New Roman"/>
          <w:color w:val="auto"/>
          <w:sz w:val="32"/>
          <w:szCs w:val="32"/>
        </w:rPr>
        <w:t>”</w:t>
      </w:r>
      <w:r>
        <w:rPr>
          <w:rFonts w:hint="eastAsia" w:ascii="黑体" w:hAnsi="黑体" w:eastAsia="黑体" w:cs="Times New Roman"/>
          <w:color w:val="auto"/>
          <w:sz w:val="32"/>
          <w:szCs w:val="32"/>
        </w:rPr>
        <w:t>经费预算情况及增减变化原因</w:t>
      </w:r>
    </w:p>
    <w:p>
      <w:pPr>
        <w:autoSpaceDE w:val="0"/>
        <w:autoSpaceDN w:val="0"/>
        <w:adjustRightInd w:val="0"/>
        <w:ind w:left="198"/>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20</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年，财政拨款“三公”经费预算安排0.81万元，其中：因公出国（境）费0万元；公务用车购置及运维费0.70万元（其中：公务用车运行费0.70万元),与201</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年持平，无增减变化；公务接待费0.11万元，与201</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年持平，无增减变化。</w:t>
      </w:r>
    </w:p>
    <w:p>
      <w:pPr>
        <w:autoSpaceDE w:val="0"/>
        <w:autoSpaceDN w:val="0"/>
        <w:adjustRightInd w:val="0"/>
        <w:ind w:left="198" w:firstLine="640" w:firstLineChars="200"/>
        <w:jc w:val="left"/>
        <w:rPr>
          <w:rFonts w:ascii="黑体" w:hAnsi="黑体" w:eastAsia="黑体" w:cs="Times New Roman"/>
          <w:sz w:val="32"/>
          <w:szCs w:val="32"/>
        </w:rPr>
      </w:pPr>
      <w:r>
        <w:rPr>
          <w:rFonts w:hint="eastAsia" w:ascii="黑体" w:hAnsi="黑体" w:eastAsia="黑体" w:cs="Times New Roman"/>
          <w:sz w:val="32"/>
          <w:szCs w:val="32"/>
        </w:rPr>
        <w:t>五、绩效预算信息</w:t>
      </w:r>
    </w:p>
    <w:p>
      <w:pPr>
        <w:ind w:firstLine="640" w:firstLineChars="200"/>
        <w:jc w:val="left"/>
        <w:rPr>
          <w:rFonts w:ascii="Times New Roman" w:hAnsi="Times New Roman" w:eastAsia="方正仿宋_GBK" w:cs="Times New Roman"/>
          <w:b/>
          <w:sz w:val="32"/>
          <w:szCs w:val="32"/>
        </w:rPr>
      </w:pPr>
      <w:bookmarkStart w:id="0" w:name="_Toc471398463"/>
      <w:r>
        <w:rPr>
          <w:rFonts w:hint="eastAsia" w:ascii="Times New Roman" w:hAnsi="Times New Roman" w:eastAsia="方正仿宋_GBK" w:cs="Times New Roman"/>
          <w:b/>
          <w:sz w:val="32"/>
          <w:szCs w:val="32"/>
        </w:rPr>
        <w:t xml:space="preserve"> </w:t>
      </w:r>
      <w:r>
        <w:rPr>
          <w:rFonts w:ascii="Times New Roman" w:hAnsi="Times New Roman" w:eastAsia="方正仿宋_GBK" w:cs="Times New Roman"/>
          <w:b/>
          <w:sz w:val="32"/>
          <w:szCs w:val="32"/>
        </w:rPr>
        <w:t>总体绩效目标：</w:t>
      </w:r>
    </w:p>
    <w:p>
      <w:pPr>
        <w:spacing w:line="580" w:lineRule="exact"/>
        <w:ind w:firstLine="640" w:firstLineChars="200"/>
        <w:rPr>
          <w:rFonts w:ascii="仿宋" w:hAnsi="仿宋" w:eastAsia="仿宋" w:cs="宋体"/>
          <w:sz w:val="32"/>
          <w:szCs w:val="32"/>
        </w:rPr>
      </w:pPr>
      <w:r>
        <w:rPr>
          <w:rFonts w:hint="eastAsia" w:ascii="仿宋_GB2312" w:hAnsi="黑体" w:eastAsia="仿宋_GB2312"/>
          <w:sz w:val="32"/>
          <w:szCs w:val="32"/>
        </w:rPr>
        <w:t xml:space="preserve"> 组织发动社科人才及时为党委政府和有关部门科学决策提出有针对性、前瞻性、创新性和战略性的对策和建议，具有社会效益的成果8项以上。组织各类社科成果的资审、评审、终审、公示、奖励等项工作，完成课题100项以上。通过“品牌”效应活动，宣传普及社科知识，开展咨询服务，受众满意度90%以上;在全市创建不同区域、不同类型、不同级别的社会科学普及基地项目，建设有影响力的基地3个以上。</w:t>
      </w:r>
    </w:p>
    <w:p>
      <w:pPr>
        <w:ind w:firstLine="640" w:firstLineChars="200"/>
        <w:jc w:val="left"/>
        <w:rPr>
          <w:rFonts w:ascii="Times New Roman" w:hAnsi="Times New Roman" w:eastAsia="方正仿宋_GBK" w:cs="Times New Roman"/>
          <w:b/>
          <w:sz w:val="32"/>
          <w:szCs w:val="32"/>
        </w:rPr>
      </w:pPr>
      <w:r>
        <w:rPr>
          <w:rFonts w:hint="eastAsia" w:ascii="Times New Roman" w:hAnsi="Times New Roman" w:eastAsia="方正仿宋_GBK" w:cs="Times New Roman"/>
          <w:b/>
          <w:sz w:val="32"/>
          <w:szCs w:val="32"/>
        </w:rPr>
        <w:t>职责分类绩效目标：</w:t>
      </w:r>
    </w:p>
    <w:p>
      <w:pPr>
        <w:spacing w:line="58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 xml:space="preserve">（一）社科团体、社科机构管理服务 </w:t>
      </w:r>
    </w:p>
    <w:p>
      <w:pPr>
        <w:spacing w:line="58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绩效目标：推进学会、协会、研究会管理科学规范，维护团体会员和社科工作者合法权益；建立健全社科学术研究和培养社科人才机制；进行社团组织考核评估。</w:t>
      </w:r>
    </w:p>
    <w:p>
      <w:pPr>
        <w:spacing w:line="58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绩效指标：年检合格率达到95%以上。</w:t>
      </w:r>
    </w:p>
    <w:p>
      <w:pPr>
        <w:spacing w:line="58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（二）全市社会科学发展规划制定，课题发布；社会科学发展研究课题和民生调研课题组织管理</w:t>
      </w:r>
    </w:p>
    <w:p>
      <w:pPr>
        <w:spacing w:line="58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绩效目标：建立课题立项、评审、奖励、推介、转化等制度，完善社会科学研究课题导向机制，围绕承德发展现实问题开展课题立项研究。</w:t>
      </w:r>
    </w:p>
    <w:p>
      <w:pPr>
        <w:spacing w:line="58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绩效指标：课题完成率占所立项目的80%以上。</w:t>
      </w:r>
      <w:bookmarkStart w:id="7" w:name="_GoBack"/>
    </w:p>
    <w:bookmarkEnd w:id="7"/>
    <w:p>
      <w:pPr>
        <w:spacing w:line="58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 xml:space="preserve">（三）优秀社科成果评奖和优秀青年专家评选活动 </w:t>
      </w:r>
    </w:p>
    <w:p>
      <w:pPr>
        <w:spacing w:line="58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绩效目标：为市委、市政府和有关决策部门、实际工作部门提供决策参考；发现、培养和激励我市社会科学优秀人才脱颖而出。</w:t>
      </w:r>
    </w:p>
    <w:p>
      <w:pPr>
        <w:spacing w:line="58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绩效指标：课题资助金发放比例占总业务费的30%以上。</w:t>
      </w:r>
    </w:p>
    <w:p>
      <w:pPr>
        <w:spacing w:line="58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（四）社会科学知识普及工作</w:t>
      </w:r>
    </w:p>
    <w:p>
      <w:pPr>
        <w:spacing w:line="58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绩效目标：形成全市社科普及工作网络构建和社科普及体系。</w:t>
      </w:r>
    </w:p>
    <w:p>
      <w:pPr>
        <w:spacing w:line="58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绩效指标：科普满意度占科普总人数的85%以上。</w:t>
      </w:r>
    </w:p>
    <w:p>
      <w:pPr>
        <w:spacing w:line="58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（五）综合业务管理</w:t>
      </w:r>
    </w:p>
    <w:p>
      <w:pPr>
        <w:spacing w:line="58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绩效目标：切实发挥起党委和政府联系社会科学界的桥梁和纽带作用。</w:t>
      </w:r>
    </w:p>
    <w:p>
      <w:pPr>
        <w:spacing w:line="580" w:lineRule="exact"/>
        <w:ind w:firstLine="640" w:firstLineChars="200"/>
        <w:rPr>
          <w:rFonts w:ascii="Times New Roman" w:eastAsia="方正仿宋_GBK"/>
          <w:sz w:val="28"/>
        </w:rPr>
      </w:pPr>
      <w:r>
        <w:rPr>
          <w:rFonts w:hint="eastAsia" w:ascii="仿宋_GB2312" w:hAnsi="黑体" w:eastAsia="仿宋_GB2312"/>
          <w:sz w:val="32"/>
          <w:szCs w:val="32"/>
        </w:rPr>
        <w:t>绩效指标：社科研究单位科研管理部门对社科联工作满意度达到80%。</w:t>
      </w:r>
    </w:p>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Times New Roman" w:hAnsi="Times New Roman" w:eastAsia="方正仿宋_GBK" w:cs="Times New Roman"/>
          <w:b/>
          <w:sz w:val="32"/>
          <w:szCs w:val="32"/>
        </w:rPr>
        <w:t xml:space="preserve"> 实现本年度规划目标的保障措施</w:t>
      </w:r>
    </w:p>
    <w:p>
      <w:pPr>
        <w:spacing w:line="58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一）完善制度建设。成立由社科联党组书记任第一负责人的绩效管理领导小组，负责进一步完善预算绩效管理制度、规范项目资金管理办法、统筹社科联预算项目绩效工作，制定社科联绩效管理办法，并指定专人负责绩效管理工作，为完成预算绩效目标奠定制度基础。</w:t>
      </w:r>
    </w:p>
    <w:p>
      <w:pPr>
        <w:spacing w:line="58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二）加强支出管理。根据年度工作计划安排，合理确定项目落实进度，根据项目实施方案细化项目资金支出计划，在规定时间内加快项目预算执行进度；优化支出结构，细化支出项目，及时支付资金，确保保质保量完成项目支出。</w:t>
      </w:r>
    </w:p>
    <w:p>
      <w:pPr>
        <w:spacing w:line="58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（三）加强绩效运行监控。按要求开展动态绩效运行监控，每季度至少向社科联党组汇报一次绩效完成情况，发现问题及时采取措施，确保绩效目标如期保质实现。</w:t>
      </w:r>
    </w:p>
    <w:p>
      <w:pPr>
        <w:spacing w:line="58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（四）做好绩效自评。按要求开展部门预算绩效自评和重点评价工作，对评价中发现的问题及时整改，调整优化支出结构，提高财政资金使用效益。</w:t>
      </w:r>
    </w:p>
    <w:p>
      <w:pPr>
        <w:spacing w:line="58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（五）规范财务资产管理。进一步完善财务管理制度，严格履行政府采购手续，严格执行审批程序，加强固定资产管理、使用和报废，做到支出合理，物尽其用。</w:t>
      </w:r>
    </w:p>
    <w:p>
      <w:pPr>
        <w:spacing w:line="58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 xml:space="preserve">（六）加强内部监督。进一步加强内部监督制度建设，社科联党组对绩效运行情况进行监督；支出超过3000元必须经过单位主要负责人同意，超过10000元需经党组会讨论通过；加强对会计资料进行内部审计，并配合做好审计、财政监督等外部监督工作，确保财政资金安全有效。     </w:t>
      </w:r>
    </w:p>
    <w:p>
      <w:pPr>
        <w:spacing w:line="58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七）加强宣传培训调研。加强绩效、财务人员培训，提高相关人员业务素质；加强调研，研究制定出符合社科联实际的财政资金配置和使用的管理办法；加大宣传力度，强化预算绩效管理意识，促进预算绩效管理水平进一步提升。</w:t>
      </w:r>
    </w:p>
    <w:p>
      <w:pPr>
        <w:ind w:firstLine="636" w:firstLineChars="198"/>
        <w:jc w:val="left"/>
        <w:outlineLvl w:val="0"/>
        <w:rPr>
          <w:rFonts w:hint="eastAsia" w:ascii="黑体" w:hAnsi="黑体" w:eastAsia="黑体"/>
          <w:b/>
          <w:sz w:val="32"/>
          <w:szCs w:val="32"/>
        </w:rPr>
      </w:pPr>
      <w:r>
        <w:rPr>
          <w:rFonts w:hint="eastAsia" w:ascii="黑体" w:hAnsi="黑体" w:eastAsia="黑体"/>
          <w:b/>
          <w:sz w:val="32"/>
          <w:szCs w:val="32"/>
          <w:lang w:eastAsia="zh-CN"/>
        </w:rPr>
        <w:t>专项资金绩效目标</w:t>
      </w:r>
      <w:r>
        <w:rPr>
          <w:rFonts w:hint="eastAsia" w:ascii="黑体" w:hAnsi="黑体" w:eastAsia="黑体"/>
          <w:b/>
          <w:sz w:val="32"/>
          <w:szCs w:val="32"/>
        </w:rPr>
        <w:t>：</w:t>
      </w:r>
    </w:p>
    <w:p>
      <w:pPr>
        <w:ind w:firstLine="636" w:firstLineChars="198"/>
        <w:jc w:val="left"/>
        <w:outlineLvl w:val="0"/>
        <w:rPr>
          <w:rFonts w:hint="eastAsia" w:ascii="黑体" w:hAnsi="黑体" w:eastAsia="黑体"/>
          <w:b/>
          <w:sz w:val="32"/>
          <w:szCs w:val="32"/>
        </w:rPr>
      </w:pPr>
    </w:p>
    <w:p>
      <w:pPr>
        <w:ind w:firstLine="636" w:firstLineChars="198"/>
        <w:jc w:val="left"/>
        <w:outlineLvl w:val="0"/>
        <w:rPr>
          <w:rFonts w:hint="eastAsia" w:ascii="黑体" w:hAnsi="黑体" w:eastAsia="黑体"/>
          <w:b/>
          <w:sz w:val="32"/>
          <w:szCs w:val="32"/>
        </w:rPr>
      </w:pPr>
    </w:p>
    <w:p>
      <w:pPr>
        <w:ind w:firstLine="636" w:firstLineChars="198"/>
        <w:jc w:val="left"/>
        <w:outlineLvl w:val="0"/>
        <w:rPr>
          <w:rFonts w:hint="eastAsia" w:ascii="黑体" w:hAnsi="黑体" w:eastAsia="黑体"/>
          <w:b/>
          <w:sz w:val="32"/>
          <w:szCs w:val="32"/>
        </w:rPr>
      </w:pPr>
    </w:p>
    <w:p>
      <w:pPr>
        <w:ind w:firstLine="636" w:firstLineChars="198"/>
        <w:jc w:val="left"/>
        <w:outlineLvl w:val="0"/>
        <w:rPr>
          <w:rFonts w:hint="eastAsia" w:ascii="黑体" w:hAnsi="黑体" w:eastAsia="黑体"/>
          <w:b/>
          <w:sz w:val="32"/>
          <w:szCs w:val="32"/>
        </w:rPr>
      </w:pPr>
    </w:p>
    <w:p>
      <w:pPr>
        <w:ind w:firstLine="636" w:firstLineChars="198"/>
        <w:jc w:val="left"/>
        <w:outlineLvl w:val="0"/>
        <w:rPr>
          <w:rFonts w:hint="eastAsia" w:ascii="黑体" w:hAnsi="黑体" w:eastAsia="黑体"/>
          <w:b/>
          <w:sz w:val="32"/>
          <w:szCs w:val="32"/>
        </w:rPr>
      </w:pPr>
    </w:p>
    <w:p>
      <w:pPr>
        <w:ind w:firstLine="636" w:firstLineChars="198"/>
        <w:jc w:val="left"/>
        <w:outlineLvl w:val="0"/>
        <w:rPr>
          <w:rFonts w:hint="eastAsia" w:ascii="黑体" w:hAnsi="黑体" w:eastAsia="黑体"/>
          <w:b/>
          <w:sz w:val="32"/>
          <w:szCs w:val="32"/>
        </w:rPr>
      </w:pPr>
    </w:p>
    <w:p>
      <w:pPr>
        <w:ind w:firstLine="636" w:firstLineChars="198"/>
        <w:jc w:val="left"/>
        <w:outlineLvl w:val="0"/>
        <w:rPr>
          <w:rFonts w:hint="eastAsia" w:ascii="黑体" w:hAnsi="黑体" w:eastAsia="黑体"/>
          <w:b/>
          <w:sz w:val="32"/>
          <w:szCs w:val="32"/>
        </w:rPr>
      </w:pPr>
    </w:p>
    <w:p>
      <w:pPr>
        <w:ind w:firstLine="636" w:firstLineChars="198"/>
        <w:jc w:val="left"/>
        <w:outlineLvl w:val="0"/>
        <w:rPr>
          <w:rFonts w:hint="eastAsia" w:ascii="黑体" w:hAnsi="黑体" w:eastAsia="黑体"/>
          <w:b/>
          <w:sz w:val="32"/>
          <w:szCs w:val="32"/>
        </w:rPr>
      </w:pPr>
    </w:p>
    <w:p>
      <w:pPr>
        <w:ind w:firstLine="636" w:firstLineChars="198"/>
        <w:jc w:val="left"/>
        <w:outlineLvl w:val="0"/>
        <w:rPr>
          <w:rFonts w:hint="eastAsia" w:ascii="黑体" w:hAnsi="黑体" w:eastAsia="黑体"/>
          <w:b/>
          <w:sz w:val="32"/>
          <w:szCs w:val="32"/>
        </w:rPr>
      </w:pPr>
    </w:p>
    <w:p>
      <w:pPr>
        <w:ind w:firstLine="636" w:firstLineChars="198"/>
        <w:jc w:val="left"/>
        <w:outlineLvl w:val="0"/>
        <w:rPr>
          <w:rFonts w:hint="eastAsia" w:ascii="黑体" w:hAnsi="黑体" w:eastAsia="黑体"/>
          <w:b/>
          <w:sz w:val="32"/>
          <w:szCs w:val="32"/>
        </w:rPr>
      </w:pPr>
    </w:p>
    <w:p>
      <w:pPr>
        <w:ind w:firstLine="636" w:firstLineChars="198"/>
        <w:jc w:val="left"/>
        <w:outlineLvl w:val="0"/>
        <w:rPr>
          <w:rFonts w:hint="eastAsia" w:ascii="黑体" w:hAnsi="黑体" w:eastAsia="黑体"/>
          <w:b/>
          <w:sz w:val="32"/>
          <w:szCs w:val="32"/>
        </w:rPr>
      </w:pPr>
    </w:p>
    <w:p>
      <w:pPr>
        <w:ind w:firstLine="636" w:firstLineChars="198"/>
        <w:jc w:val="left"/>
        <w:outlineLvl w:val="0"/>
        <w:rPr>
          <w:rFonts w:hint="eastAsia" w:ascii="黑体" w:hAnsi="黑体" w:eastAsia="黑体"/>
          <w:b/>
          <w:sz w:val="32"/>
          <w:szCs w:val="32"/>
        </w:rPr>
      </w:pPr>
    </w:p>
    <w:p>
      <w:pPr>
        <w:ind w:firstLine="636" w:firstLineChars="198"/>
        <w:jc w:val="left"/>
        <w:outlineLvl w:val="0"/>
        <w:rPr>
          <w:rFonts w:hint="eastAsia" w:ascii="黑体" w:hAnsi="黑体" w:eastAsia="黑体"/>
          <w:b/>
          <w:sz w:val="32"/>
          <w:szCs w:val="32"/>
        </w:rPr>
      </w:pPr>
    </w:p>
    <w:bookmarkEnd w:id="0"/>
    <w:p>
      <w:pPr>
        <w:ind w:firstLine="560" w:firstLineChars="200"/>
        <w:jc w:val="left"/>
        <w:outlineLvl w:val="1"/>
        <w:rPr>
          <w:rFonts w:ascii="Times New Roman" w:hAnsi="宋体"/>
          <w:b/>
          <w:sz w:val="28"/>
        </w:rPr>
      </w:pPr>
      <w:r>
        <w:rPr>
          <w:rFonts w:hint="eastAsia" w:ascii="方正仿宋_GBK" w:eastAsia="方正仿宋_GBK"/>
          <w:b/>
          <w:sz w:val="28"/>
        </w:rPr>
        <w:t>1、承德市社会科学联合会第六次代表大会经费绩效目标表</w:t>
      </w:r>
      <w:r>
        <w:fldChar w:fldCharType="begin"/>
      </w:r>
      <w:r>
        <w:rPr>
          <w:rFonts w:ascii="方正仿宋_GBK" w:eastAsia="方正仿宋_GBK"/>
          <w:b/>
          <w:sz w:val="28"/>
        </w:rPr>
        <w:instrText xml:space="preserve"> </w:instrText>
      </w:r>
      <w:r>
        <w:rPr>
          <w:rFonts w:hint="eastAsia" w:ascii="方正仿宋_GBK" w:eastAsia="方正仿宋_GBK"/>
          <w:b/>
          <w:sz w:val="28"/>
        </w:rPr>
        <w:instrText xml:space="preserve">TC </w:instrText>
      </w:r>
      <w:bookmarkStart w:id="1" w:name="_Toc31722175"/>
      <w:r>
        <w:rPr>
          <w:rFonts w:hint="eastAsia" w:ascii="方正仿宋_GBK" w:eastAsia="方正仿宋_GBK"/>
          <w:b/>
          <w:sz w:val="28"/>
        </w:rPr>
        <w:instrText xml:space="preserve">1、承德市社会科学联合会第六次代表大会经费绩效目标表</w:instrText>
      </w:r>
      <w:bookmarkEnd w:id="1"/>
      <w:r>
        <w:rPr>
          <w:rFonts w:hint="eastAsia" w:ascii="方正仿宋_GBK" w:eastAsia="方正仿宋_GBK"/>
          <w:b/>
          <w:sz w:val="28"/>
        </w:rPr>
        <w:instrText xml:space="preserve"> \f B \l 1</w:instrText>
      </w:r>
      <w:r>
        <w:rPr>
          <w:rFonts w:ascii="方正仿宋_GBK" w:eastAsia="方正仿宋_GBK"/>
          <w:b/>
          <w:sz w:val="28"/>
        </w:rPr>
        <w:instrText xml:space="preserve"> </w:instrText>
      </w:r>
      <w:r>
        <w:rPr>
          <w:rFonts w:ascii="方正仿宋_GBK" w:eastAsia="方正仿宋_GBK"/>
          <w:b/>
          <w:sz w:val="28"/>
        </w:rPr>
        <w:fldChar w:fldCharType="end"/>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shd w:val="clear" w:color="auto" w:fill="auto"/>
            <w:noWrap w:val="0"/>
            <w:vAlign w:val="center"/>
          </w:tcPr>
          <w:p>
            <w:pPr>
              <w:spacing w:line="300" w:lineRule="exact"/>
              <w:jc w:val="left"/>
              <w:rPr>
                <w:rFonts w:ascii="方正书宋_GBK" w:eastAsia="方正书宋_GBK"/>
                <w:b/>
              </w:rPr>
            </w:pPr>
          </w:p>
        </w:tc>
        <w:tc>
          <w:tcPr>
            <w:tcW w:w="1701" w:type="dxa"/>
            <w:tcBorders>
              <w:top w:val="single" w:color="FFFFFF" w:sz="6" w:space="0"/>
              <w:left w:val="single" w:color="FFFFFF" w:sz="6" w:space="0"/>
              <w:right w:val="single" w:color="FFFFFF" w:sz="6" w:space="0"/>
            </w:tcBorders>
            <w:shd w:val="clear" w:color="auto" w:fill="auto"/>
            <w:noWrap w:val="0"/>
            <w:vAlign w:val="center"/>
          </w:tcPr>
          <w:p>
            <w:pPr>
              <w:spacing w:line="300" w:lineRule="exact"/>
              <w:jc w:val="right"/>
              <w:rPr>
                <w:rFonts w:ascii="方正书宋_GBK" w:eastAsia="方正书宋_GBK"/>
              </w:rPr>
            </w:pPr>
            <w:r>
              <w:rPr>
                <w:rFonts w:hint="eastAsia" w:ascii="方正书宋_GBK" w:eastAsia="方正书宋_GBK"/>
              </w:rP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项目编码</w:t>
            </w:r>
          </w:p>
        </w:tc>
        <w:tc>
          <w:tcPr>
            <w:tcW w:w="2410" w:type="dxa"/>
            <w:gridSpan w:val="2"/>
            <w:shd w:val="clear" w:color="auto" w:fill="auto"/>
            <w:noWrap w:val="0"/>
            <w:vAlign w:val="center"/>
          </w:tcPr>
          <w:p>
            <w:pPr>
              <w:spacing w:line="300" w:lineRule="exact"/>
              <w:jc w:val="left"/>
              <w:rPr>
                <w:rFonts w:ascii="方正书宋_GBK" w:eastAsia="方正书宋_GBK"/>
              </w:rPr>
            </w:pPr>
            <w:r>
              <w:rPr>
                <w:rFonts w:ascii="方正书宋_GBK" w:eastAsia="方正书宋_GBK"/>
              </w:rPr>
              <w:t>000-9999-JSN-RF66</w:t>
            </w:r>
          </w:p>
        </w:tc>
        <w:tc>
          <w:tcPr>
            <w:tcW w:w="1587"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专项资金名称</w:t>
            </w:r>
          </w:p>
        </w:tc>
        <w:tc>
          <w:tcPr>
            <w:tcW w:w="4281" w:type="dxa"/>
            <w:gridSpan w:val="3"/>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承德市社会科学联合会第六次代表大会经费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预算规模及资金用途</w:t>
            </w:r>
          </w:p>
        </w:tc>
        <w:tc>
          <w:tcPr>
            <w:tcW w:w="1134"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预算数</w:t>
            </w:r>
          </w:p>
        </w:tc>
        <w:tc>
          <w:tcPr>
            <w:tcW w:w="1276" w:type="dxa"/>
            <w:shd w:val="clear" w:color="auto" w:fill="auto"/>
            <w:noWrap w:val="0"/>
            <w:vAlign w:val="center"/>
          </w:tcPr>
          <w:p>
            <w:pPr>
              <w:spacing w:line="300" w:lineRule="exact"/>
              <w:jc w:val="left"/>
              <w:rPr>
                <w:rFonts w:ascii="方正书宋_GBK" w:eastAsia="方正书宋_GBK"/>
              </w:rPr>
            </w:pPr>
            <w:r>
              <w:rPr>
                <w:rFonts w:ascii="方正书宋_GBK" w:eastAsia="方正书宋_GBK"/>
              </w:rPr>
              <w:t>8.00</w:t>
            </w:r>
          </w:p>
        </w:tc>
        <w:tc>
          <w:tcPr>
            <w:tcW w:w="1587"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其中：财政资金</w:t>
            </w:r>
          </w:p>
        </w:tc>
        <w:tc>
          <w:tcPr>
            <w:tcW w:w="1304" w:type="dxa"/>
            <w:shd w:val="clear" w:color="auto" w:fill="auto"/>
            <w:noWrap w:val="0"/>
            <w:vAlign w:val="center"/>
          </w:tcPr>
          <w:p>
            <w:pPr>
              <w:spacing w:line="300" w:lineRule="exact"/>
              <w:jc w:val="left"/>
              <w:rPr>
                <w:rFonts w:ascii="方正书宋_GBK" w:eastAsia="方正书宋_GBK"/>
              </w:rPr>
            </w:pPr>
            <w:r>
              <w:rPr>
                <w:rFonts w:ascii="方正书宋_GBK" w:eastAsia="方正书宋_GBK"/>
              </w:rPr>
              <w:t>8.00</w:t>
            </w:r>
          </w:p>
        </w:tc>
        <w:tc>
          <w:tcPr>
            <w:tcW w:w="1276"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其他资金</w:t>
            </w:r>
          </w:p>
        </w:tc>
        <w:tc>
          <w:tcPr>
            <w:tcW w:w="1701" w:type="dxa"/>
            <w:shd w:val="clear" w:color="auto" w:fill="auto"/>
            <w:noWrap w:val="0"/>
            <w:vAlign w:val="center"/>
          </w:tcPr>
          <w:p>
            <w:pPr>
              <w:spacing w:line="300" w:lineRule="exact"/>
              <w:jc w:val="lef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shd w:val="clear" w:color="auto" w:fill="auto"/>
            <w:noWrap w:val="0"/>
            <w:vAlign w:val="center"/>
          </w:tcPr>
          <w:p>
            <w:pPr>
              <w:spacing w:line="300" w:lineRule="exact"/>
              <w:jc w:val="left"/>
              <w:outlineLvl w:val="1"/>
            </w:pPr>
          </w:p>
        </w:tc>
        <w:tc>
          <w:tcPr>
            <w:tcW w:w="8278" w:type="dxa"/>
            <w:gridSpan w:val="6"/>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召开承德市社会科学界联合会第六次代表大会。本次代表大会主要任务是落实社科联《机构改革方案》，换届产生新的机构组织，会议为二类会议，根据会议规模拟预算</w:t>
            </w:r>
            <w:r>
              <w:rPr>
                <w:rFonts w:ascii="方正书宋_GBK" w:eastAsia="方正书宋_GBK"/>
              </w:rPr>
              <w:t>15</w:t>
            </w:r>
            <w:r>
              <w:rPr>
                <w:rFonts w:hint="eastAsia" w:ascii="方正书宋_GBK" w:eastAsia="方正书宋_GBK"/>
              </w:rPr>
              <w:t>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资金支出计划（</w:t>
            </w:r>
            <w:r>
              <w:rPr>
                <w:rFonts w:ascii="方正书宋_GBK" w:eastAsia="方正书宋_GBK"/>
                <w:b/>
              </w:rPr>
              <w:t>%</w:t>
            </w:r>
            <w:r>
              <w:rPr>
                <w:rFonts w:hint="eastAsia" w:ascii="方正书宋_GBK" w:eastAsia="方正书宋_GBK"/>
                <w:b/>
              </w:rPr>
              <w:t>）</w:t>
            </w:r>
          </w:p>
        </w:tc>
        <w:tc>
          <w:tcPr>
            <w:tcW w:w="2410" w:type="dxa"/>
            <w:gridSpan w:val="2"/>
            <w:shd w:val="clear" w:color="auto" w:fill="auto"/>
            <w:noWrap w:val="0"/>
            <w:vAlign w:val="center"/>
          </w:tcPr>
          <w:p>
            <w:pPr>
              <w:spacing w:line="300" w:lineRule="exact"/>
              <w:jc w:val="center"/>
              <w:rPr>
                <w:rFonts w:ascii="方正书宋_GBK" w:eastAsia="方正书宋_GBK"/>
                <w:b/>
              </w:rPr>
            </w:pPr>
            <w:r>
              <w:rPr>
                <w:rFonts w:ascii="方正书宋_GBK" w:eastAsia="方正书宋_GBK"/>
                <w:b/>
              </w:rPr>
              <w:t>3</w:t>
            </w:r>
            <w:r>
              <w:rPr>
                <w:rFonts w:hint="eastAsia" w:ascii="方正书宋_GBK" w:eastAsia="方正书宋_GBK"/>
                <w:b/>
              </w:rPr>
              <w:t>月底</w:t>
            </w:r>
          </w:p>
        </w:tc>
        <w:tc>
          <w:tcPr>
            <w:tcW w:w="1587" w:type="dxa"/>
            <w:shd w:val="clear" w:color="auto" w:fill="auto"/>
            <w:noWrap w:val="0"/>
            <w:vAlign w:val="center"/>
          </w:tcPr>
          <w:p>
            <w:pPr>
              <w:spacing w:line="300" w:lineRule="exact"/>
              <w:jc w:val="center"/>
              <w:rPr>
                <w:rFonts w:ascii="方正书宋_GBK" w:eastAsia="方正书宋_GBK"/>
                <w:b/>
              </w:rPr>
            </w:pPr>
            <w:r>
              <w:rPr>
                <w:rFonts w:ascii="方正书宋_GBK" w:eastAsia="方正书宋_GBK"/>
                <w:b/>
              </w:rPr>
              <w:t>6</w:t>
            </w:r>
            <w:r>
              <w:rPr>
                <w:rFonts w:hint="eastAsia" w:ascii="方正书宋_GBK" w:eastAsia="方正书宋_GBK"/>
                <w:b/>
              </w:rPr>
              <w:t>月底</w:t>
            </w:r>
          </w:p>
        </w:tc>
        <w:tc>
          <w:tcPr>
            <w:tcW w:w="1304" w:type="dxa"/>
            <w:shd w:val="clear" w:color="auto" w:fill="auto"/>
            <w:noWrap w:val="0"/>
            <w:vAlign w:val="center"/>
          </w:tcPr>
          <w:p>
            <w:pPr>
              <w:spacing w:line="300" w:lineRule="exact"/>
              <w:jc w:val="center"/>
              <w:rPr>
                <w:rFonts w:ascii="方正书宋_GBK" w:eastAsia="方正书宋_GBK"/>
                <w:b/>
              </w:rPr>
            </w:pPr>
            <w:r>
              <w:rPr>
                <w:rFonts w:ascii="方正书宋_GBK" w:eastAsia="方正书宋_GBK"/>
                <w:b/>
              </w:rPr>
              <w:t>10</w:t>
            </w:r>
            <w:r>
              <w:rPr>
                <w:rFonts w:hint="eastAsia" w:ascii="方正书宋_GBK" w:eastAsia="方正书宋_GBK"/>
                <w:b/>
              </w:rPr>
              <w:t>月底</w:t>
            </w:r>
          </w:p>
        </w:tc>
        <w:tc>
          <w:tcPr>
            <w:tcW w:w="2977" w:type="dxa"/>
            <w:gridSpan w:val="2"/>
            <w:shd w:val="clear" w:color="auto" w:fill="auto"/>
            <w:noWrap w:val="0"/>
            <w:vAlign w:val="center"/>
          </w:tcPr>
          <w:p>
            <w:pPr>
              <w:spacing w:line="300" w:lineRule="exact"/>
              <w:jc w:val="center"/>
              <w:rPr>
                <w:rFonts w:ascii="方正书宋_GBK" w:eastAsia="方正书宋_GBK"/>
                <w:b/>
              </w:rPr>
            </w:pPr>
            <w:r>
              <w:rPr>
                <w:rFonts w:ascii="方正书宋_GBK" w:eastAsia="方正书宋_GBK"/>
                <w:b/>
              </w:rPr>
              <w:t>12</w:t>
            </w:r>
            <w:r>
              <w:rPr>
                <w:rFonts w:hint="eastAsia" w:ascii="方正书宋_GBK" w:eastAsia="方正书宋_GBK"/>
                <w:b/>
              </w:rPr>
              <w:t>月底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shd w:val="clear" w:color="auto" w:fill="auto"/>
            <w:noWrap w:val="0"/>
            <w:vAlign w:val="center"/>
          </w:tcPr>
          <w:p>
            <w:pPr>
              <w:spacing w:line="300" w:lineRule="exact"/>
              <w:jc w:val="left"/>
              <w:outlineLvl w:val="1"/>
            </w:pPr>
          </w:p>
        </w:tc>
        <w:tc>
          <w:tcPr>
            <w:tcW w:w="2410" w:type="dxa"/>
            <w:gridSpan w:val="2"/>
            <w:tcBorders>
              <w:bottom w:val="single" w:color="000000" w:sz="6" w:space="0"/>
            </w:tcBorders>
            <w:shd w:val="clear" w:color="auto" w:fill="auto"/>
            <w:noWrap w:val="0"/>
            <w:vAlign w:val="center"/>
          </w:tcPr>
          <w:p>
            <w:pPr>
              <w:spacing w:line="300" w:lineRule="exact"/>
              <w:jc w:val="center"/>
              <w:rPr>
                <w:rFonts w:ascii="方正书宋_GBK" w:eastAsia="方正书宋_GBK"/>
              </w:rPr>
            </w:pPr>
          </w:p>
        </w:tc>
        <w:tc>
          <w:tcPr>
            <w:tcW w:w="1587" w:type="dxa"/>
            <w:tcBorders>
              <w:bottom w:val="single" w:color="000000" w:sz="6" w:space="0"/>
            </w:tcBorders>
            <w:shd w:val="clear" w:color="auto" w:fill="auto"/>
            <w:noWrap w:val="0"/>
            <w:vAlign w:val="center"/>
          </w:tcPr>
          <w:p>
            <w:pPr>
              <w:spacing w:line="300" w:lineRule="exact"/>
              <w:jc w:val="center"/>
              <w:rPr>
                <w:rFonts w:ascii="方正书宋_GBK" w:eastAsia="方正书宋_GBK"/>
              </w:rPr>
            </w:pPr>
            <w:r>
              <w:rPr>
                <w:rFonts w:ascii="方正书宋_GBK" w:eastAsia="方正书宋_GBK"/>
              </w:rPr>
              <w:t>30.00</w:t>
            </w:r>
          </w:p>
        </w:tc>
        <w:tc>
          <w:tcPr>
            <w:tcW w:w="1304" w:type="dxa"/>
            <w:tcBorders>
              <w:bottom w:val="single" w:color="000000" w:sz="6" w:space="0"/>
            </w:tcBorders>
            <w:shd w:val="clear" w:color="auto" w:fill="auto"/>
            <w:noWrap w:val="0"/>
            <w:vAlign w:val="center"/>
          </w:tcPr>
          <w:p>
            <w:pPr>
              <w:spacing w:line="300" w:lineRule="exact"/>
              <w:jc w:val="center"/>
              <w:rPr>
                <w:rFonts w:ascii="方正书宋_GBK" w:eastAsia="方正书宋_GBK"/>
              </w:rPr>
            </w:pPr>
            <w:r>
              <w:rPr>
                <w:rFonts w:ascii="方正书宋_GBK" w:eastAsia="方正书宋_GBK"/>
              </w:rPr>
              <w:t>100.00</w:t>
            </w:r>
          </w:p>
        </w:tc>
        <w:tc>
          <w:tcPr>
            <w:tcW w:w="2977" w:type="dxa"/>
            <w:gridSpan w:val="2"/>
            <w:tcBorders>
              <w:bottom w:val="single" w:color="000000" w:sz="6" w:space="0"/>
            </w:tcBorders>
            <w:shd w:val="clear" w:color="auto" w:fill="auto"/>
            <w:noWrap w:val="0"/>
            <w:vAlign w:val="center"/>
          </w:tcPr>
          <w:p>
            <w:pPr>
              <w:spacing w:line="300" w:lineRule="exact"/>
              <w:jc w:val="center"/>
              <w:rPr>
                <w:rFonts w:ascii="方正书宋_GBK" w:eastAsia="方正书宋_GBK"/>
              </w:rPr>
            </w:pPr>
            <w:r>
              <w:rPr>
                <w:rFonts w:ascii="方正书宋_GBK" w:eastAsia="方正书宋_GBK"/>
              </w:rPr>
              <w:t>100.00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绩效目标</w:t>
            </w:r>
          </w:p>
        </w:tc>
        <w:tc>
          <w:tcPr>
            <w:tcW w:w="8278" w:type="dxa"/>
            <w:gridSpan w:val="6"/>
            <w:tcBorders>
              <w:bottom w:val="nil"/>
            </w:tcBorders>
            <w:shd w:val="clear" w:color="auto" w:fill="auto"/>
            <w:noWrap w:val="0"/>
            <w:vAlign w:val="center"/>
          </w:tcPr>
          <w:p>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、计划工作、明确任务，解决问题</w:t>
            </w:r>
          </w:p>
          <w:p>
            <w:pPr>
              <w:spacing w:line="300" w:lineRule="exact"/>
              <w:jc w:val="left"/>
              <w:rPr>
                <w:rFonts w:ascii="方正书宋_GBK" w:eastAsia="方正书宋_GBK"/>
              </w:rPr>
            </w:pPr>
            <w:r>
              <w:rPr>
                <w:rFonts w:ascii="方正书宋_GBK" w:eastAsia="方正书宋_GBK"/>
              </w:rPr>
              <w:t>2</w:t>
            </w:r>
            <w:r>
              <w:rPr>
                <w:rFonts w:hint="eastAsia" w:ascii="方正书宋_GBK" w:eastAsia="方正书宋_GBK"/>
              </w:rPr>
              <w:t>、顺利完成换届工作</w:t>
            </w:r>
          </w:p>
        </w:tc>
      </w:tr>
    </w:tbl>
    <w:p>
      <w:pPr>
        <w:spacing w:line="14" w:lineRule="exact"/>
        <w:ind w:firstLine="420" w:firstLineChars="200"/>
        <w:jc w:val="center"/>
        <w:rPr>
          <w:rFonts w:ascii="Times New Roman" w:hAnsi="宋体"/>
        </w:rPr>
      </w:pPr>
      <w:r>
        <w:rPr>
          <w:rFonts w:ascii="方正书宋_GBK" w:eastAsia="方正书宋_GBK"/>
        </w:rPr>
        <w:t xml:space="preserve"> </w:t>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一级指标</w:t>
            </w:r>
          </w:p>
        </w:tc>
        <w:tc>
          <w:tcPr>
            <w:tcW w:w="1134"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二级指标</w:t>
            </w:r>
          </w:p>
        </w:tc>
        <w:tc>
          <w:tcPr>
            <w:tcW w:w="1276"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三级指标</w:t>
            </w:r>
          </w:p>
        </w:tc>
        <w:tc>
          <w:tcPr>
            <w:tcW w:w="2891"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绩效指标描述</w:t>
            </w:r>
          </w:p>
        </w:tc>
        <w:tc>
          <w:tcPr>
            <w:tcW w:w="1276"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指标值</w:t>
            </w:r>
          </w:p>
        </w:tc>
        <w:tc>
          <w:tcPr>
            <w:tcW w:w="1701"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pPr>
              <w:spacing w:line="300" w:lineRule="exact"/>
              <w:jc w:val="center"/>
              <w:rPr>
                <w:rFonts w:ascii="方正书宋_GBK" w:eastAsia="方正书宋_GBK"/>
              </w:rPr>
            </w:pPr>
            <w:r>
              <w:rPr>
                <w:rFonts w:hint="eastAsia" w:ascii="方正书宋_GBK" w:eastAsia="方正书宋_GBK"/>
              </w:rPr>
              <w:t>产出指标</w:t>
            </w:r>
          </w:p>
        </w:tc>
        <w:tc>
          <w:tcPr>
            <w:tcW w:w="1134"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数量指标</w:t>
            </w:r>
          </w:p>
        </w:tc>
        <w:tc>
          <w:tcPr>
            <w:tcW w:w="1276"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参会人数</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换届会参会人数</w:t>
            </w:r>
          </w:p>
        </w:tc>
        <w:tc>
          <w:tcPr>
            <w:tcW w:w="1276"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w:t>
            </w:r>
            <w:r>
              <w:rPr>
                <w:rFonts w:ascii="方正书宋_GBK" w:eastAsia="方正书宋_GBK"/>
              </w:rPr>
              <w:t>200</w:t>
            </w:r>
            <w:r>
              <w:rPr>
                <w:rFonts w:hint="eastAsia" w:ascii="方正书宋_GBK" w:eastAsia="方正书宋_GBK"/>
              </w:rPr>
              <w:t>人</w:t>
            </w:r>
          </w:p>
        </w:tc>
        <w:tc>
          <w:tcPr>
            <w:tcW w:w="170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换届会参会人数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pPr>
              <w:spacing w:line="300" w:lineRule="exact"/>
              <w:jc w:val="center"/>
              <w:rPr>
                <w:rFonts w:hint="eastAsia" w:ascii="方正书宋_GBK" w:eastAsia="方正书宋_GBK"/>
              </w:rPr>
            </w:pP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成本指标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选举效果</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选举的委员人数</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80</w:t>
            </w:r>
            <w:r>
              <w:rPr>
                <w:rFonts w:hint="eastAsia" w:ascii="方正书宋_GBK" w:eastAsia="方正书宋_GBK"/>
              </w:rPr>
              <w:t>人</w:t>
            </w:r>
          </w:p>
        </w:tc>
        <w:tc>
          <w:tcPr>
            <w:tcW w:w="1701"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选举的委员人数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pPr>
              <w:spacing w:line="300" w:lineRule="exact"/>
              <w:jc w:val="center"/>
              <w:rPr>
                <w:rFonts w:hint="eastAsia" w:ascii="方正书宋_GBK" w:eastAsia="方正书宋_GBK"/>
              </w:rPr>
            </w:pP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质量指标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产生常委的数量</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产生常委的数量</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9</w:t>
            </w:r>
            <w:r>
              <w:rPr>
                <w:rFonts w:hint="eastAsia" w:ascii="方正书宋_GBK" w:eastAsia="方正书宋_GBK"/>
              </w:rPr>
              <w:t>人</w:t>
            </w:r>
          </w:p>
        </w:tc>
        <w:tc>
          <w:tcPr>
            <w:tcW w:w="1701"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产生常委的数量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pPr>
              <w:spacing w:line="300" w:lineRule="exact"/>
              <w:jc w:val="center"/>
              <w:rPr>
                <w:rFonts w:hint="eastAsia" w:ascii="方正书宋_GBK" w:eastAsia="方正书宋_GBK"/>
              </w:rPr>
            </w:pP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时效指标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完成率</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完成换届选举预期目标的比例</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90</w:t>
            </w:r>
            <w:r>
              <w:rPr>
                <w:rFonts w:hint="eastAsia" w:ascii="方正书宋_GBK" w:eastAsia="方正书宋_GBK"/>
              </w:rPr>
              <w:t>百分比</w:t>
            </w:r>
          </w:p>
        </w:tc>
        <w:tc>
          <w:tcPr>
            <w:tcW w:w="1701"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完成换届选举预期目标的比例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pPr>
              <w:spacing w:line="300" w:lineRule="exact"/>
              <w:jc w:val="center"/>
              <w:rPr>
                <w:rFonts w:hint="eastAsia" w:ascii="方正书宋_GBK" w:eastAsia="方正书宋_GBK"/>
              </w:rPr>
            </w:pPr>
            <w:r>
              <w:rPr>
                <w:rFonts w:hint="eastAsia" w:ascii="方正书宋_GBK" w:eastAsia="方正书宋_GBK"/>
              </w:rPr>
              <w:t>效果指标</w:t>
            </w: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经济效益指标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产生的正式文件数</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会议修订的政策文件数量</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2</w:t>
            </w:r>
            <w:r>
              <w:rPr>
                <w:rFonts w:hint="eastAsia" w:ascii="方正书宋_GBK" w:eastAsia="方正书宋_GBK"/>
              </w:rPr>
              <w:t>个数</w:t>
            </w:r>
          </w:p>
        </w:tc>
        <w:tc>
          <w:tcPr>
            <w:tcW w:w="1701"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会议修订的政策文件数量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pPr>
              <w:spacing w:line="300" w:lineRule="exact"/>
              <w:jc w:val="center"/>
              <w:rPr>
                <w:rFonts w:hint="eastAsia" w:ascii="方正书宋_GBK" w:eastAsia="方正书宋_GBK"/>
              </w:rPr>
            </w:pP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社会效益指标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选举的委员文化水平</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委员中专家、学者占总人数的比率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30</w:t>
            </w:r>
            <w:r>
              <w:rPr>
                <w:rFonts w:hint="eastAsia" w:ascii="方正书宋_GBK" w:eastAsia="方正书宋_GBK"/>
              </w:rPr>
              <w:t>百分比</w:t>
            </w:r>
          </w:p>
        </w:tc>
        <w:tc>
          <w:tcPr>
            <w:tcW w:w="1701"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委员中专家、学者占总人数的比率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pPr>
              <w:spacing w:line="300" w:lineRule="exact"/>
              <w:jc w:val="center"/>
              <w:rPr>
                <w:rFonts w:hint="eastAsia" w:ascii="方正书宋_GBK" w:eastAsia="方正书宋_GBK"/>
              </w:rPr>
            </w:pP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社会效益指标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会议知晓率</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出席会议各领域专家占全部领域的比例</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50</w:t>
            </w:r>
            <w:r>
              <w:rPr>
                <w:rFonts w:hint="eastAsia" w:ascii="方正书宋_GBK" w:eastAsia="方正书宋_GBK"/>
              </w:rPr>
              <w:t>百分比</w:t>
            </w:r>
          </w:p>
        </w:tc>
        <w:tc>
          <w:tcPr>
            <w:tcW w:w="1701"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会议在学术界的知晓率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pPr>
              <w:spacing w:line="300" w:lineRule="exact"/>
              <w:jc w:val="center"/>
              <w:rPr>
                <w:rFonts w:hint="eastAsia" w:ascii="方正书宋_GBK" w:eastAsia="方正书宋_GBK"/>
              </w:rPr>
            </w:pPr>
            <w:r>
              <w:rPr>
                <w:rFonts w:hint="eastAsia" w:ascii="方正书宋_GBK" w:eastAsia="方正书宋_GBK"/>
              </w:rPr>
              <w:t>满意度指标</w:t>
            </w: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服务对象满意度指标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服务对象满意度</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换届结果满意度</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85</w:t>
            </w:r>
            <w:r>
              <w:rPr>
                <w:rFonts w:hint="eastAsia" w:ascii="方正书宋_GBK" w:eastAsia="方正书宋_GBK"/>
              </w:rPr>
              <w:t>百分比</w:t>
            </w:r>
          </w:p>
        </w:tc>
        <w:tc>
          <w:tcPr>
            <w:tcW w:w="1701"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换届结果满意度</w:t>
            </w:r>
          </w:p>
        </w:tc>
      </w:tr>
    </w:tbl>
    <w:p>
      <w:pPr>
        <w:spacing w:line="300" w:lineRule="exact"/>
        <w:ind w:firstLine="420" w:firstLineChars="200"/>
        <w:jc w:val="left"/>
        <w:sectPr>
          <w:pgSz w:w="11907" w:h="16839"/>
          <w:pgMar w:top="1984" w:right="1304" w:bottom="1134" w:left="1304" w:header="851" w:footer="992" w:gutter="0"/>
          <w:cols w:space="425" w:num="1"/>
          <w:docGrid w:type="lines" w:linePitch="312" w:charSpace="0"/>
        </w:sectPr>
      </w:pPr>
    </w:p>
    <w:p>
      <w:pPr>
        <w:spacing w:line="300" w:lineRule="exact"/>
        <w:ind w:firstLine="420" w:firstLineChars="200"/>
        <w:jc w:val="left"/>
      </w:pPr>
    </w:p>
    <w:p>
      <w:pPr>
        <w:ind w:firstLine="560" w:firstLineChars="200"/>
        <w:jc w:val="left"/>
        <w:outlineLvl w:val="1"/>
        <w:rPr>
          <w:rFonts w:ascii="Times New Roman" w:hAnsi="宋体"/>
          <w:b/>
          <w:sz w:val="28"/>
        </w:rPr>
      </w:pPr>
      <w:r>
        <w:rPr>
          <w:rFonts w:hint="eastAsia" w:ascii="方正仿宋_GBK" w:eastAsia="方正仿宋_GBK"/>
          <w:b/>
          <w:sz w:val="28"/>
        </w:rPr>
        <w:t>2、承德市社会科学优秀成果评奖及社会科学特别奖绩效目标表</w:t>
      </w:r>
      <w:r>
        <w:fldChar w:fldCharType="begin"/>
      </w:r>
      <w:r>
        <w:rPr>
          <w:rFonts w:ascii="方正仿宋_GBK" w:eastAsia="方正仿宋_GBK"/>
          <w:b/>
          <w:sz w:val="28"/>
        </w:rPr>
        <w:instrText xml:space="preserve"> </w:instrText>
      </w:r>
      <w:r>
        <w:rPr>
          <w:rFonts w:hint="eastAsia" w:ascii="方正仿宋_GBK" w:eastAsia="方正仿宋_GBK"/>
          <w:b/>
          <w:sz w:val="28"/>
        </w:rPr>
        <w:instrText xml:space="preserve">TC </w:instrText>
      </w:r>
      <w:bookmarkStart w:id="2" w:name="_Toc31722176"/>
      <w:r>
        <w:rPr>
          <w:rFonts w:hint="eastAsia" w:ascii="方正仿宋_GBK" w:eastAsia="方正仿宋_GBK"/>
          <w:b/>
          <w:sz w:val="28"/>
        </w:rPr>
        <w:instrText xml:space="preserve">2、承德市社会科学优秀成果评奖及社会科学特别奖绩效目标表</w:instrText>
      </w:r>
      <w:bookmarkEnd w:id="2"/>
      <w:r>
        <w:rPr>
          <w:rFonts w:hint="eastAsia" w:ascii="方正仿宋_GBK" w:eastAsia="方正仿宋_GBK"/>
          <w:b/>
          <w:sz w:val="28"/>
        </w:rPr>
        <w:instrText xml:space="preserve"> \f B \l 1</w:instrText>
      </w:r>
      <w:r>
        <w:rPr>
          <w:rFonts w:ascii="方正仿宋_GBK" w:eastAsia="方正仿宋_GBK"/>
          <w:b/>
          <w:sz w:val="28"/>
        </w:rPr>
        <w:instrText xml:space="preserve"> </w:instrText>
      </w:r>
      <w:r>
        <w:rPr>
          <w:rFonts w:ascii="方正仿宋_GBK" w:eastAsia="方正仿宋_GBK"/>
          <w:b/>
          <w:sz w:val="28"/>
        </w:rPr>
        <w:fldChar w:fldCharType="end"/>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shd w:val="clear" w:color="auto" w:fill="auto"/>
            <w:noWrap w:val="0"/>
            <w:vAlign w:val="center"/>
          </w:tcPr>
          <w:p>
            <w:pPr>
              <w:spacing w:line="300" w:lineRule="exact"/>
              <w:jc w:val="left"/>
              <w:rPr>
                <w:rFonts w:ascii="方正书宋_GBK" w:eastAsia="方正书宋_GBK"/>
                <w:b/>
              </w:rPr>
            </w:pPr>
          </w:p>
        </w:tc>
        <w:tc>
          <w:tcPr>
            <w:tcW w:w="1701" w:type="dxa"/>
            <w:tcBorders>
              <w:top w:val="single" w:color="FFFFFF" w:sz="6" w:space="0"/>
              <w:left w:val="single" w:color="FFFFFF" w:sz="6" w:space="0"/>
              <w:right w:val="single" w:color="FFFFFF" w:sz="6" w:space="0"/>
            </w:tcBorders>
            <w:shd w:val="clear" w:color="auto" w:fill="auto"/>
            <w:noWrap w:val="0"/>
            <w:vAlign w:val="center"/>
          </w:tcPr>
          <w:p>
            <w:pPr>
              <w:spacing w:line="300" w:lineRule="exact"/>
              <w:jc w:val="right"/>
              <w:rPr>
                <w:rFonts w:ascii="方正书宋_GBK" w:eastAsia="方正书宋_GBK"/>
              </w:rPr>
            </w:pPr>
            <w:r>
              <w:rPr>
                <w:rFonts w:hint="eastAsia" w:ascii="方正书宋_GBK" w:eastAsia="方正书宋_GBK"/>
              </w:rP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项目编码</w:t>
            </w:r>
          </w:p>
        </w:tc>
        <w:tc>
          <w:tcPr>
            <w:tcW w:w="2410" w:type="dxa"/>
            <w:gridSpan w:val="2"/>
            <w:shd w:val="clear" w:color="auto" w:fill="auto"/>
            <w:noWrap w:val="0"/>
            <w:vAlign w:val="center"/>
          </w:tcPr>
          <w:p>
            <w:pPr>
              <w:spacing w:line="300" w:lineRule="exact"/>
              <w:jc w:val="left"/>
              <w:rPr>
                <w:rFonts w:ascii="方正书宋_GBK" w:eastAsia="方正书宋_GBK"/>
              </w:rPr>
            </w:pPr>
            <w:r>
              <w:rPr>
                <w:rFonts w:ascii="方正书宋_GBK" w:eastAsia="方正书宋_GBK"/>
              </w:rPr>
              <w:t>000-9999-JSN-T640</w:t>
            </w:r>
          </w:p>
        </w:tc>
        <w:tc>
          <w:tcPr>
            <w:tcW w:w="1587"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专项资金名称</w:t>
            </w:r>
          </w:p>
        </w:tc>
        <w:tc>
          <w:tcPr>
            <w:tcW w:w="4281" w:type="dxa"/>
            <w:gridSpan w:val="3"/>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承德市社会科学优秀成果评奖及社会科学特别奖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预算规模及资金用途</w:t>
            </w:r>
          </w:p>
        </w:tc>
        <w:tc>
          <w:tcPr>
            <w:tcW w:w="1134"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预算数</w:t>
            </w:r>
          </w:p>
        </w:tc>
        <w:tc>
          <w:tcPr>
            <w:tcW w:w="1276" w:type="dxa"/>
            <w:shd w:val="clear" w:color="auto" w:fill="auto"/>
            <w:noWrap w:val="0"/>
            <w:vAlign w:val="center"/>
          </w:tcPr>
          <w:p>
            <w:pPr>
              <w:spacing w:line="300" w:lineRule="exact"/>
              <w:jc w:val="left"/>
              <w:rPr>
                <w:rFonts w:ascii="方正书宋_GBK" w:eastAsia="方正书宋_GBK"/>
              </w:rPr>
            </w:pPr>
            <w:r>
              <w:rPr>
                <w:rFonts w:ascii="方正书宋_GBK" w:eastAsia="方正书宋_GBK"/>
              </w:rPr>
              <w:t>20.00</w:t>
            </w:r>
          </w:p>
        </w:tc>
        <w:tc>
          <w:tcPr>
            <w:tcW w:w="1587"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其中：财政资金</w:t>
            </w:r>
          </w:p>
        </w:tc>
        <w:tc>
          <w:tcPr>
            <w:tcW w:w="1304" w:type="dxa"/>
            <w:shd w:val="clear" w:color="auto" w:fill="auto"/>
            <w:noWrap w:val="0"/>
            <w:vAlign w:val="center"/>
          </w:tcPr>
          <w:p>
            <w:pPr>
              <w:spacing w:line="300" w:lineRule="exact"/>
              <w:jc w:val="left"/>
              <w:rPr>
                <w:rFonts w:ascii="方正书宋_GBK" w:eastAsia="方正书宋_GBK"/>
              </w:rPr>
            </w:pPr>
            <w:r>
              <w:rPr>
                <w:rFonts w:ascii="方正书宋_GBK" w:eastAsia="方正书宋_GBK"/>
              </w:rPr>
              <w:t>20.00</w:t>
            </w:r>
          </w:p>
        </w:tc>
        <w:tc>
          <w:tcPr>
            <w:tcW w:w="1276"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其他资金</w:t>
            </w:r>
          </w:p>
        </w:tc>
        <w:tc>
          <w:tcPr>
            <w:tcW w:w="1701" w:type="dxa"/>
            <w:shd w:val="clear" w:color="auto" w:fill="auto"/>
            <w:noWrap w:val="0"/>
            <w:vAlign w:val="center"/>
          </w:tcPr>
          <w:p>
            <w:pPr>
              <w:spacing w:line="300" w:lineRule="exact"/>
              <w:jc w:val="lef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shd w:val="clear" w:color="auto" w:fill="auto"/>
            <w:noWrap w:val="0"/>
            <w:vAlign w:val="center"/>
          </w:tcPr>
          <w:p>
            <w:pPr>
              <w:spacing w:line="300" w:lineRule="exact"/>
              <w:jc w:val="left"/>
              <w:outlineLvl w:val="1"/>
            </w:pPr>
          </w:p>
        </w:tc>
        <w:tc>
          <w:tcPr>
            <w:tcW w:w="8278" w:type="dxa"/>
            <w:gridSpan w:val="6"/>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承德市社会科学优秀成果奖每两年一届；社会科学特别奖评奖每三年一届。第</w:t>
            </w:r>
            <w:r>
              <w:rPr>
                <w:rFonts w:ascii="方正书宋_GBK" w:eastAsia="方正书宋_GBK"/>
              </w:rPr>
              <w:t>12</w:t>
            </w:r>
            <w:r>
              <w:rPr>
                <w:rFonts w:hint="eastAsia" w:ascii="方正书宋_GBK" w:eastAsia="方正书宋_GBK"/>
              </w:rPr>
              <w:t>届财政安排预算</w:t>
            </w:r>
            <w:r>
              <w:rPr>
                <w:rFonts w:ascii="方正书宋_GBK" w:eastAsia="方正书宋_GBK"/>
              </w:rPr>
              <w:t>27.4</w:t>
            </w:r>
            <w:r>
              <w:rPr>
                <w:rFonts w:hint="eastAsia" w:ascii="方正书宋_GBK" w:eastAsia="方正书宋_GBK"/>
              </w:rPr>
              <w:t>万元，第</w:t>
            </w:r>
            <w:r>
              <w:rPr>
                <w:rFonts w:ascii="方正书宋_GBK" w:eastAsia="方正书宋_GBK"/>
              </w:rPr>
              <w:t>13</w:t>
            </w:r>
            <w:r>
              <w:rPr>
                <w:rFonts w:hint="eastAsia" w:ascii="方正书宋_GBK" w:eastAsia="方正书宋_GBK"/>
              </w:rPr>
              <w:t>届、第</w:t>
            </w:r>
            <w:r>
              <w:rPr>
                <w:rFonts w:ascii="方正书宋_GBK" w:eastAsia="方正书宋_GBK"/>
              </w:rPr>
              <w:t>14</w:t>
            </w:r>
            <w:r>
              <w:rPr>
                <w:rFonts w:hint="eastAsia" w:ascii="方正书宋_GBK" w:eastAsia="方正书宋_GBK"/>
              </w:rPr>
              <w:t>届财政分别安排预算</w:t>
            </w:r>
            <w:r>
              <w:rPr>
                <w:rFonts w:ascii="方正书宋_GBK" w:eastAsia="方正书宋_GBK"/>
              </w:rPr>
              <w:t>20</w:t>
            </w:r>
            <w:r>
              <w:rPr>
                <w:rFonts w:hint="eastAsia" w:ascii="方正书宋_GBK" w:eastAsia="方正书宋_GBK"/>
              </w:rPr>
              <w:t>万元。</w:t>
            </w:r>
            <w:r>
              <w:rPr>
                <w:rFonts w:ascii="方正书宋_GBK" w:eastAsia="方正书宋_GBK"/>
              </w:rPr>
              <w:t>2020</w:t>
            </w:r>
            <w:r>
              <w:rPr>
                <w:rFonts w:hint="eastAsia" w:ascii="方正书宋_GBK" w:eastAsia="方正书宋_GBK"/>
              </w:rPr>
              <w:t>年开展第</w:t>
            </w:r>
            <w:r>
              <w:rPr>
                <w:rFonts w:ascii="方正书宋_GBK" w:eastAsia="方正书宋_GBK"/>
              </w:rPr>
              <w:t>15</w:t>
            </w:r>
            <w:r>
              <w:rPr>
                <w:rFonts w:hint="eastAsia" w:ascii="方正书宋_GBK" w:eastAsia="方正书宋_GBK"/>
              </w:rPr>
              <w:t>届成果评奖和特别奖两项评选活动，考虑往届实际和本届规模、数量应不少于</w:t>
            </w:r>
            <w:r>
              <w:rPr>
                <w:rFonts w:ascii="方正书宋_GBK" w:eastAsia="方正书宋_GBK"/>
              </w:rPr>
              <w:t>28</w:t>
            </w:r>
            <w:r>
              <w:rPr>
                <w:rFonts w:hint="eastAsia" w:ascii="方正书宋_GBK" w:eastAsia="方正书宋_GBK"/>
              </w:rPr>
              <w:t>万，特别奖已有两届没有评选，本届需增加特别奖</w:t>
            </w:r>
            <w:r>
              <w:rPr>
                <w:rFonts w:ascii="方正书宋_GBK" w:eastAsia="方正书宋_GBK"/>
              </w:rPr>
              <w:t>5</w:t>
            </w:r>
            <w:r>
              <w:rPr>
                <w:rFonts w:hint="eastAsia" w:ascii="方正书宋_GBK" w:eastAsia="方正书宋_GBK"/>
              </w:rPr>
              <w:t>万元，合计</w:t>
            </w:r>
            <w:r>
              <w:rPr>
                <w:rFonts w:ascii="方正书宋_GBK" w:eastAsia="方正书宋_GBK"/>
              </w:rPr>
              <w:t>33</w:t>
            </w:r>
            <w:r>
              <w:rPr>
                <w:rFonts w:hint="eastAsia" w:ascii="方正书宋_GBK" w:eastAsia="方正书宋_GBK"/>
              </w:rPr>
              <w:t>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资金支出计划（</w:t>
            </w:r>
            <w:r>
              <w:rPr>
                <w:rFonts w:ascii="方正书宋_GBK" w:eastAsia="方正书宋_GBK"/>
                <w:b/>
              </w:rPr>
              <w:t>%</w:t>
            </w:r>
            <w:r>
              <w:rPr>
                <w:rFonts w:hint="eastAsia" w:ascii="方正书宋_GBK" w:eastAsia="方正书宋_GBK"/>
                <w:b/>
              </w:rPr>
              <w:t>）</w:t>
            </w:r>
          </w:p>
        </w:tc>
        <w:tc>
          <w:tcPr>
            <w:tcW w:w="2410" w:type="dxa"/>
            <w:gridSpan w:val="2"/>
            <w:shd w:val="clear" w:color="auto" w:fill="auto"/>
            <w:noWrap w:val="0"/>
            <w:vAlign w:val="center"/>
          </w:tcPr>
          <w:p>
            <w:pPr>
              <w:spacing w:line="300" w:lineRule="exact"/>
              <w:jc w:val="center"/>
              <w:rPr>
                <w:rFonts w:ascii="方正书宋_GBK" w:eastAsia="方正书宋_GBK"/>
                <w:b/>
              </w:rPr>
            </w:pPr>
            <w:r>
              <w:rPr>
                <w:rFonts w:ascii="方正书宋_GBK" w:eastAsia="方正书宋_GBK"/>
                <w:b/>
              </w:rPr>
              <w:t>3</w:t>
            </w:r>
            <w:r>
              <w:rPr>
                <w:rFonts w:hint="eastAsia" w:ascii="方正书宋_GBK" w:eastAsia="方正书宋_GBK"/>
                <w:b/>
              </w:rPr>
              <w:t>月底</w:t>
            </w:r>
          </w:p>
        </w:tc>
        <w:tc>
          <w:tcPr>
            <w:tcW w:w="1587" w:type="dxa"/>
            <w:shd w:val="clear" w:color="auto" w:fill="auto"/>
            <w:noWrap w:val="0"/>
            <w:vAlign w:val="center"/>
          </w:tcPr>
          <w:p>
            <w:pPr>
              <w:spacing w:line="300" w:lineRule="exact"/>
              <w:jc w:val="center"/>
              <w:rPr>
                <w:rFonts w:ascii="方正书宋_GBK" w:eastAsia="方正书宋_GBK"/>
                <w:b/>
              </w:rPr>
            </w:pPr>
            <w:r>
              <w:rPr>
                <w:rFonts w:ascii="方正书宋_GBK" w:eastAsia="方正书宋_GBK"/>
                <w:b/>
              </w:rPr>
              <w:t>6</w:t>
            </w:r>
            <w:r>
              <w:rPr>
                <w:rFonts w:hint="eastAsia" w:ascii="方正书宋_GBK" w:eastAsia="方正书宋_GBK"/>
                <w:b/>
              </w:rPr>
              <w:t>月底</w:t>
            </w:r>
          </w:p>
        </w:tc>
        <w:tc>
          <w:tcPr>
            <w:tcW w:w="1304" w:type="dxa"/>
            <w:shd w:val="clear" w:color="auto" w:fill="auto"/>
            <w:noWrap w:val="0"/>
            <w:vAlign w:val="center"/>
          </w:tcPr>
          <w:p>
            <w:pPr>
              <w:spacing w:line="300" w:lineRule="exact"/>
              <w:jc w:val="center"/>
              <w:rPr>
                <w:rFonts w:ascii="方正书宋_GBK" w:eastAsia="方正书宋_GBK"/>
                <w:b/>
              </w:rPr>
            </w:pPr>
            <w:r>
              <w:rPr>
                <w:rFonts w:ascii="方正书宋_GBK" w:eastAsia="方正书宋_GBK"/>
                <w:b/>
              </w:rPr>
              <w:t>10</w:t>
            </w:r>
            <w:r>
              <w:rPr>
                <w:rFonts w:hint="eastAsia" w:ascii="方正书宋_GBK" w:eastAsia="方正书宋_GBK"/>
                <w:b/>
              </w:rPr>
              <w:t>月底</w:t>
            </w:r>
          </w:p>
        </w:tc>
        <w:tc>
          <w:tcPr>
            <w:tcW w:w="2977" w:type="dxa"/>
            <w:gridSpan w:val="2"/>
            <w:shd w:val="clear" w:color="auto" w:fill="auto"/>
            <w:noWrap w:val="0"/>
            <w:vAlign w:val="center"/>
          </w:tcPr>
          <w:p>
            <w:pPr>
              <w:spacing w:line="300" w:lineRule="exact"/>
              <w:jc w:val="center"/>
              <w:rPr>
                <w:rFonts w:ascii="方正书宋_GBK" w:eastAsia="方正书宋_GBK"/>
                <w:b/>
              </w:rPr>
            </w:pPr>
            <w:r>
              <w:rPr>
                <w:rFonts w:ascii="方正书宋_GBK" w:eastAsia="方正书宋_GBK"/>
                <w:b/>
              </w:rPr>
              <w:t>12</w:t>
            </w:r>
            <w:r>
              <w:rPr>
                <w:rFonts w:hint="eastAsia" w:ascii="方正书宋_GBK" w:eastAsia="方正书宋_GBK"/>
                <w:b/>
              </w:rPr>
              <w:t>月底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shd w:val="clear" w:color="auto" w:fill="auto"/>
            <w:noWrap w:val="0"/>
            <w:vAlign w:val="center"/>
          </w:tcPr>
          <w:p>
            <w:pPr>
              <w:spacing w:line="300" w:lineRule="exact"/>
              <w:jc w:val="left"/>
              <w:outlineLvl w:val="1"/>
            </w:pPr>
          </w:p>
        </w:tc>
        <w:tc>
          <w:tcPr>
            <w:tcW w:w="2410" w:type="dxa"/>
            <w:gridSpan w:val="2"/>
            <w:tcBorders>
              <w:bottom w:val="single" w:color="000000" w:sz="6" w:space="0"/>
            </w:tcBorders>
            <w:shd w:val="clear" w:color="auto" w:fill="auto"/>
            <w:noWrap w:val="0"/>
            <w:vAlign w:val="center"/>
          </w:tcPr>
          <w:p>
            <w:pPr>
              <w:spacing w:line="300" w:lineRule="exact"/>
              <w:jc w:val="center"/>
              <w:rPr>
                <w:rFonts w:ascii="方正书宋_GBK" w:eastAsia="方正书宋_GBK"/>
              </w:rPr>
            </w:pPr>
          </w:p>
        </w:tc>
        <w:tc>
          <w:tcPr>
            <w:tcW w:w="1587" w:type="dxa"/>
            <w:tcBorders>
              <w:bottom w:val="single" w:color="000000" w:sz="6" w:space="0"/>
            </w:tcBorders>
            <w:shd w:val="clear" w:color="auto" w:fill="auto"/>
            <w:noWrap w:val="0"/>
            <w:vAlign w:val="center"/>
          </w:tcPr>
          <w:p>
            <w:pPr>
              <w:spacing w:line="300" w:lineRule="exact"/>
              <w:jc w:val="center"/>
              <w:rPr>
                <w:rFonts w:ascii="方正书宋_GBK" w:eastAsia="方正书宋_GBK"/>
              </w:rPr>
            </w:pPr>
            <w:r>
              <w:rPr>
                <w:rFonts w:ascii="方正书宋_GBK" w:eastAsia="方正书宋_GBK"/>
              </w:rPr>
              <w:t>20.00</w:t>
            </w:r>
          </w:p>
        </w:tc>
        <w:tc>
          <w:tcPr>
            <w:tcW w:w="1304" w:type="dxa"/>
            <w:tcBorders>
              <w:bottom w:val="single" w:color="000000" w:sz="6" w:space="0"/>
            </w:tcBorders>
            <w:shd w:val="clear" w:color="auto" w:fill="auto"/>
            <w:noWrap w:val="0"/>
            <w:vAlign w:val="center"/>
          </w:tcPr>
          <w:p>
            <w:pPr>
              <w:spacing w:line="300" w:lineRule="exact"/>
              <w:jc w:val="center"/>
              <w:rPr>
                <w:rFonts w:ascii="方正书宋_GBK" w:eastAsia="方正书宋_GBK"/>
              </w:rPr>
            </w:pPr>
            <w:r>
              <w:rPr>
                <w:rFonts w:ascii="方正书宋_GBK" w:eastAsia="方正书宋_GBK"/>
              </w:rPr>
              <w:t>80.00</w:t>
            </w:r>
          </w:p>
        </w:tc>
        <w:tc>
          <w:tcPr>
            <w:tcW w:w="2977" w:type="dxa"/>
            <w:gridSpan w:val="2"/>
            <w:tcBorders>
              <w:bottom w:val="single" w:color="000000" w:sz="6" w:space="0"/>
            </w:tcBorders>
            <w:shd w:val="clear" w:color="auto" w:fill="auto"/>
            <w:noWrap w:val="0"/>
            <w:vAlign w:val="center"/>
          </w:tcPr>
          <w:p>
            <w:pPr>
              <w:spacing w:line="300" w:lineRule="exact"/>
              <w:jc w:val="center"/>
              <w:rPr>
                <w:rFonts w:ascii="方正书宋_GBK" w:eastAsia="方正书宋_GBK"/>
              </w:rPr>
            </w:pPr>
            <w:r>
              <w:rPr>
                <w:rFonts w:ascii="方正书宋_GBK" w:eastAsia="方正书宋_GBK"/>
              </w:rPr>
              <w:t>100.00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绩效目标</w:t>
            </w:r>
          </w:p>
        </w:tc>
        <w:tc>
          <w:tcPr>
            <w:tcW w:w="8278" w:type="dxa"/>
            <w:gridSpan w:val="6"/>
            <w:tcBorders>
              <w:bottom w:val="nil"/>
            </w:tcBorders>
            <w:shd w:val="clear" w:color="auto" w:fill="auto"/>
            <w:noWrap w:val="0"/>
            <w:vAlign w:val="center"/>
          </w:tcPr>
          <w:p>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、提高评选的权威性，强化对决策服务深度，</w:t>
            </w:r>
          </w:p>
          <w:p>
            <w:pPr>
              <w:spacing w:line="300" w:lineRule="exact"/>
              <w:jc w:val="left"/>
              <w:rPr>
                <w:rFonts w:ascii="方正书宋_GBK" w:eastAsia="方正书宋_GBK"/>
              </w:rPr>
            </w:pPr>
            <w:r>
              <w:rPr>
                <w:rFonts w:ascii="方正书宋_GBK" w:eastAsia="方正书宋_GBK"/>
              </w:rPr>
              <w:t>2</w:t>
            </w:r>
            <w:r>
              <w:rPr>
                <w:rFonts w:hint="eastAsia" w:ascii="方正书宋_GBK" w:eastAsia="方正书宋_GBK"/>
              </w:rPr>
              <w:t>、实现评奖的公开性和公正性</w:t>
            </w:r>
          </w:p>
        </w:tc>
      </w:tr>
    </w:tbl>
    <w:p>
      <w:pPr>
        <w:spacing w:line="14" w:lineRule="exact"/>
        <w:ind w:firstLine="420" w:firstLineChars="200"/>
        <w:jc w:val="center"/>
        <w:rPr>
          <w:rFonts w:ascii="Times New Roman" w:hAnsi="宋体"/>
        </w:rPr>
      </w:pPr>
      <w:r>
        <w:rPr>
          <w:rFonts w:ascii="方正书宋_GBK" w:eastAsia="方正书宋_GBK"/>
        </w:rPr>
        <w:t xml:space="preserve"> </w:t>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一级指标</w:t>
            </w:r>
          </w:p>
        </w:tc>
        <w:tc>
          <w:tcPr>
            <w:tcW w:w="1134"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二级指标</w:t>
            </w:r>
          </w:p>
        </w:tc>
        <w:tc>
          <w:tcPr>
            <w:tcW w:w="1276"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三级指标</w:t>
            </w:r>
          </w:p>
        </w:tc>
        <w:tc>
          <w:tcPr>
            <w:tcW w:w="2891"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绩效指标描述</w:t>
            </w:r>
          </w:p>
        </w:tc>
        <w:tc>
          <w:tcPr>
            <w:tcW w:w="1276"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指标值</w:t>
            </w:r>
          </w:p>
        </w:tc>
        <w:tc>
          <w:tcPr>
            <w:tcW w:w="1701"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pPr>
              <w:spacing w:line="300" w:lineRule="exact"/>
              <w:jc w:val="center"/>
              <w:rPr>
                <w:rFonts w:ascii="方正书宋_GBK" w:eastAsia="方正书宋_GBK"/>
              </w:rPr>
            </w:pPr>
            <w:r>
              <w:rPr>
                <w:rFonts w:hint="eastAsia" w:ascii="方正书宋_GBK" w:eastAsia="方正书宋_GBK"/>
              </w:rPr>
              <w:t>产出指标</w:t>
            </w:r>
          </w:p>
        </w:tc>
        <w:tc>
          <w:tcPr>
            <w:tcW w:w="1134"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数量指标</w:t>
            </w:r>
          </w:p>
        </w:tc>
        <w:tc>
          <w:tcPr>
            <w:tcW w:w="1276"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奖项数量</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成果奖励项数</w:t>
            </w:r>
          </w:p>
        </w:tc>
        <w:tc>
          <w:tcPr>
            <w:tcW w:w="1276"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w:t>
            </w:r>
            <w:r>
              <w:rPr>
                <w:rFonts w:ascii="方正书宋_GBK" w:eastAsia="方正书宋_GBK"/>
              </w:rPr>
              <w:t>100</w:t>
            </w:r>
            <w:r>
              <w:rPr>
                <w:rFonts w:hint="eastAsia" w:ascii="方正书宋_GBK" w:eastAsia="方正书宋_GBK"/>
              </w:rPr>
              <w:t>项</w:t>
            </w:r>
          </w:p>
        </w:tc>
        <w:tc>
          <w:tcPr>
            <w:tcW w:w="170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成果奖励项数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pPr>
              <w:spacing w:line="300" w:lineRule="exact"/>
              <w:jc w:val="center"/>
              <w:rPr>
                <w:rFonts w:hint="eastAsia" w:ascii="方正书宋_GBK" w:eastAsia="方正书宋_GBK"/>
              </w:rPr>
            </w:pP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质量指标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特别奖项数</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特别奖奖励项数</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项</w:t>
            </w:r>
          </w:p>
        </w:tc>
        <w:tc>
          <w:tcPr>
            <w:tcW w:w="1701"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特别奖奖励项数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pPr>
              <w:spacing w:line="300" w:lineRule="exact"/>
              <w:jc w:val="center"/>
              <w:rPr>
                <w:rFonts w:hint="eastAsia" w:ascii="方正书宋_GBK" w:eastAsia="方正书宋_GBK"/>
              </w:rPr>
            </w:pP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成本指标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成果报送数量</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成果报送数</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150</w:t>
            </w:r>
            <w:r>
              <w:rPr>
                <w:rFonts w:hint="eastAsia" w:ascii="方正书宋_GBK" w:eastAsia="方正书宋_GBK"/>
              </w:rPr>
              <w:t>项</w:t>
            </w:r>
          </w:p>
        </w:tc>
        <w:tc>
          <w:tcPr>
            <w:tcW w:w="1701"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成果报送数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pPr>
              <w:spacing w:line="300" w:lineRule="exact"/>
              <w:jc w:val="center"/>
              <w:rPr>
                <w:rFonts w:hint="eastAsia" w:ascii="方正书宋_GBK" w:eastAsia="方正书宋_GBK"/>
              </w:rPr>
            </w:pP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时效指标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奖金发放率</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奖金发放率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90</w:t>
            </w:r>
            <w:r>
              <w:rPr>
                <w:rFonts w:hint="eastAsia" w:ascii="方正书宋_GBK" w:eastAsia="方正书宋_GBK"/>
              </w:rPr>
              <w:t>百分比</w:t>
            </w:r>
          </w:p>
        </w:tc>
        <w:tc>
          <w:tcPr>
            <w:tcW w:w="1701"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奖金发放率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pPr>
              <w:spacing w:line="300" w:lineRule="exact"/>
              <w:jc w:val="center"/>
              <w:rPr>
                <w:rFonts w:hint="eastAsia" w:ascii="方正书宋_GBK" w:eastAsia="方正书宋_GBK"/>
              </w:rPr>
            </w:pPr>
            <w:r>
              <w:rPr>
                <w:rFonts w:hint="eastAsia" w:ascii="方正书宋_GBK" w:eastAsia="方正书宋_GBK"/>
              </w:rPr>
              <w:t>效果指标</w:t>
            </w: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社会效益指标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得奖率</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得奖科研占总课题的比率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80</w:t>
            </w:r>
            <w:r>
              <w:rPr>
                <w:rFonts w:hint="eastAsia" w:ascii="方正书宋_GBK" w:eastAsia="方正书宋_GBK"/>
              </w:rPr>
              <w:t>百分比</w:t>
            </w:r>
          </w:p>
        </w:tc>
        <w:tc>
          <w:tcPr>
            <w:tcW w:w="1701"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得奖科研占总课题的比率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pPr>
              <w:spacing w:line="300" w:lineRule="exact"/>
              <w:jc w:val="center"/>
              <w:rPr>
                <w:rFonts w:hint="eastAsia" w:ascii="方正书宋_GBK" w:eastAsia="方正书宋_GBK"/>
              </w:rPr>
            </w:pP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可持续影响指标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长期使用性</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提供长期有影响的政策。</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项</w:t>
            </w:r>
          </w:p>
        </w:tc>
        <w:tc>
          <w:tcPr>
            <w:tcW w:w="1701"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提供长期有影响的政策。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pPr>
              <w:spacing w:line="300" w:lineRule="exact"/>
              <w:jc w:val="center"/>
              <w:rPr>
                <w:rFonts w:hint="eastAsia" w:ascii="方正书宋_GBK" w:eastAsia="方正书宋_GBK"/>
              </w:rPr>
            </w:pPr>
            <w:r>
              <w:rPr>
                <w:rFonts w:hint="eastAsia" w:ascii="方正书宋_GBK" w:eastAsia="方正书宋_GBK"/>
              </w:rPr>
              <w:t>满意度指标</w:t>
            </w: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服务对象满意度指标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服务对象满意度</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社科专家满意度</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80</w:t>
            </w:r>
            <w:r>
              <w:rPr>
                <w:rFonts w:hint="eastAsia" w:ascii="方正书宋_GBK" w:eastAsia="方正书宋_GBK"/>
              </w:rPr>
              <w:t>百分比</w:t>
            </w:r>
          </w:p>
        </w:tc>
        <w:tc>
          <w:tcPr>
            <w:tcW w:w="1701"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社科专家满意度</w:t>
            </w:r>
          </w:p>
        </w:tc>
      </w:tr>
    </w:tbl>
    <w:p>
      <w:pPr>
        <w:spacing w:line="300" w:lineRule="exact"/>
        <w:ind w:firstLine="420" w:firstLineChars="200"/>
        <w:jc w:val="left"/>
        <w:sectPr>
          <w:pgSz w:w="11907" w:h="16839"/>
          <w:pgMar w:top="1984" w:right="1304" w:bottom="1134" w:left="1304" w:header="851" w:footer="992" w:gutter="0"/>
          <w:cols w:space="425" w:num="1"/>
          <w:docGrid w:type="lines" w:linePitch="312" w:charSpace="0"/>
        </w:sectPr>
      </w:pPr>
    </w:p>
    <w:p>
      <w:pPr>
        <w:spacing w:line="300" w:lineRule="exact"/>
        <w:ind w:firstLine="420" w:firstLineChars="200"/>
        <w:jc w:val="left"/>
      </w:pPr>
    </w:p>
    <w:p>
      <w:pPr>
        <w:ind w:firstLine="560" w:firstLineChars="200"/>
        <w:jc w:val="left"/>
        <w:outlineLvl w:val="1"/>
        <w:rPr>
          <w:rFonts w:ascii="Times New Roman" w:hAnsi="宋体"/>
          <w:b/>
          <w:sz w:val="28"/>
        </w:rPr>
      </w:pPr>
      <w:r>
        <w:rPr>
          <w:rFonts w:hint="eastAsia" w:ascii="方正仿宋_GBK" w:eastAsia="方正仿宋_GBK"/>
          <w:b/>
          <w:sz w:val="28"/>
        </w:rPr>
        <w:t>3、社科普及专项经费绩效目标表</w:t>
      </w:r>
      <w:r>
        <w:fldChar w:fldCharType="begin"/>
      </w:r>
      <w:r>
        <w:rPr>
          <w:rFonts w:ascii="方正仿宋_GBK" w:eastAsia="方正仿宋_GBK"/>
          <w:b/>
          <w:sz w:val="28"/>
        </w:rPr>
        <w:instrText xml:space="preserve"> </w:instrText>
      </w:r>
      <w:r>
        <w:rPr>
          <w:rFonts w:hint="eastAsia" w:ascii="方正仿宋_GBK" w:eastAsia="方正仿宋_GBK"/>
          <w:b/>
          <w:sz w:val="28"/>
        </w:rPr>
        <w:instrText xml:space="preserve">TC </w:instrText>
      </w:r>
      <w:bookmarkStart w:id="3" w:name="_Toc31722177"/>
      <w:r>
        <w:rPr>
          <w:rFonts w:hint="eastAsia" w:ascii="方正仿宋_GBK" w:eastAsia="方正仿宋_GBK"/>
          <w:b/>
          <w:sz w:val="28"/>
        </w:rPr>
        <w:instrText xml:space="preserve">3、社科普及专项经费绩效目标表</w:instrText>
      </w:r>
      <w:bookmarkEnd w:id="3"/>
      <w:r>
        <w:rPr>
          <w:rFonts w:hint="eastAsia" w:ascii="方正仿宋_GBK" w:eastAsia="方正仿宋_GBK"/>
          <w:b/>
          <w:sz w:val="28"/>
        </w:rPr>
        <w:instrText xml:space="preserve"> \f B \l 1</w:instrText>
      </w:r>
      <w:r>
        <w:rPr>
          <w:rFonts w:ascii="方正仿宋_GBK" w:eastAsia="方正仿宋_GBK"/>
          <w:b/>
          <w:sz w:val="28"/>
        </w:rPr>
        <w:instrText xml:space="preserve"> </w:instrText>
      </w:r>
      <w:r>
        <w:rPr>
          <w:rFonts w:ascii="方正仿宋_GBK" w:eastAsia="方正仿宋_GBK"/>
          <w:b/>
          <w:sz w:val="28"/>
        </w:rPr>
        <w:fldChar w:fldCharType="end"/>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shd w:val="clear" w:color="auto" w:fill="auto"/>
            <w:noWrap w:val="0"/>
            <w:vAlign w:val="center"/>
          </w:tcPr>
          <w:p>
            <w:pPr>
              <w:spacing w:line="300" w:lineRule="exact"/>
              <w:jc w:val="left"/>
              <w:rPr>
                <w:rFonts w:ascii="方正书宋_GBK" w:eastAsia="方正书宋_GBK"/>
                <w:b/>
              </w:rPr>
            </w:pPr>
          </w:p>
        </w:tc>
        <w:tc>
          <w:tcPr>
            <w:tcW w:w="1701" w:type="dxa"/>
            <w:tcBorders>
              <w:top w:val="single" w:color="FFFFFF" w:sz="6" w:space="0"/>
              <w:left w:val="single" w:color="FFFFFF" w:sz="6" w:space="0"/>
              <w:right w:val="single" w:color="FFFFFF" w:sz="6" w:space="0"/>
            </w:tcBorders>
            <w:shd w:val="clear" w:color="auto" w:fill="auto"/>
            <w:noWrap w:val="0"/>
            <w:vAlign w:val="center"/>
          </w:tcPr>
          <w:p>
            <w:pPr>
              <w:spacing w:line="300" w:lineRule="exact"/>
              <w:jc w:val="right"/>
              <w:rPr>
                <w:rFonts w:ascii="方正书宋_GBK" w:eastAsia="方正书宋_GBK"/>
              </w:rPr>
            </w:pPr>
            <w:r>
              <w:rPr>
                <w:rFonts w:hint="eastAsia" w:ascii="方正书宋_GBK" w:eastAsia="方正书宋_GBK"/>
              </w:rP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项目编码</w:t>
            </w:r>
          </w:p>
        </w:tc>
        <w:tc>
          <w:tcPr>
            <w:tcW w:w="2410" w:type="dxa"/>
            <w:gridSpan w:val="2"/>
            <w:shd w:val="clear" w:color="auto" w:fill="auto"/>
            <w:noWrap w:val="0"/>
            <w:vAlign w:val="center"/>
          </w:tcPr>
          <w:p>
            <w:pPr>
              <w:spacing w:line="300" w:lineRule="exact"/>
              <w:jc w:val="left"/>
              <w:rPr>
                <w:rFonts w:ascii="方正书宋_GBK" w:eastAsia="方正书宋_GBK"/>
              </w:rPr>
            </w:pPr>
            <w:r>
              <w:rPr>
                <w:rFonts w:ascii="方正书宋_GBK" w:eastAsia="方正书宋_GBK"/>
              </w:rPr>
              <w:t>000-9999-JSN-V82Z</w:t>
            </w:r>
          </w:p>
        </w:tc>
        <w:tc>
          <w:tcPr>
            <w:tcW w:w="1587"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专项资金名称</w:t>
            </w:r>
          </w:p>
        </w:tc>
        <w:tc>
          <w:tcPr>
            <w:tcW w:w="4281" w:type="dxa"/>
            <w:gridSpan w:val="3"/>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社科普及专项经费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预算规模及资金用途</w:t>
            </w:r>
          </w:p>
        </w:tc>
        <w:tc>
          <w:tcPr>
            <w:tcW w:w="1134"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预算数</w:t>
            </w:r>
          </w:p>
        </w:tc>
        <w:tc>
          <w:tcPr>
            <w:tcW w:w="1276" w:type="dxa"/>
            <w:shd w:val="clear" w:color="auto" w:fill="auto"/>
            <w:noWrap w:val="0"/>
            <w:vAlign w:val="center"/>
          </w:tcPr>
          <w:p>
            <w:pPr>
              <w:spacing w:line="300" w:lineRule="exact"/>
              <w:jc w:val="left"/>
              <w:rPr>
                <w:rFonts w:ascii="方正书宋_GBK" w:eastAsia="方正书宋_GBK"/>
              </w:rPr>
            </w:pPr>
            <w:r>
              <w:rPr>
                <w:rFonts w:ascii="方正书宋_GBK" w:eastAsia="方正书宋_GBK"/>
              </w:rPr>
              <w:t>15.00</w:t>
            </w:r>
          </w:p>
        </w:tc>
        <w:tc>
          <w:tcPr>
            <w:tcW w:w="1587"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其中：财政资金</w:t>
            </w:r>
          </w:p>
        </w:tc>
        <w:tc>
          <w:tcPr>
            <w:tcW w:w="1304" w:type="dxa"/>
            <w:shd w:val="clear" w:color="auto" w:fill="auto"/>
            <w:noWrap w:val="0"/>
            <w:vAlign w:val="center"/>
          </w:tcPr>
          <w:p>
            <w:pPr>
              <w:spacing w:line="300" w:lineRule="exact"/>
              <w:jc w:val="left"/>
              <w:rPr>
                <w:rFonts w:ascii="方正书宋_GBK" w:eastAsia="方正书宋_GBK"/>
              </w:rPr>
            </w:pPr>
            <w:r>
              <w:rPr>
                <w:rFonts w:ascii="方正书宋_GBK" w:eastAsia="方正书宋_GBK"/>
              </w:rPr>
              <w:t>15.00</w:t>
            </w:r>
          </w:p>
        </w:tc>
        <w:tc>
          <w:tcPr>
            <w:tcW w:w="1276"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其他资金</w:t>
            </w:r>
          </w:p>
        </w:tc>
        <w:tc>
          <w:tcPr>
            <w:tcW w:w="1701" w:type="dxa"/>
            <w:shd w:val="clear" w:color="auto" w:fill="auto"/>
            <w:noWrap w:val="0"/>
            <w:vAlign w:val="center"/>
          </w:tcPr>
          <w:p>
            <w:pPr>
              <w:spacing w:line="300" w:lineRule="exact"/>
              <w:jc w:val="lef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shd w:val="clear" w:color="auto" w:fill="auto"/>
            <w:noWrap w:val="0"/>
            <w:vAlign w:val="center"/>
          </w:tcPr>
          <w:p>
            <w:pPr>
              <w:spacing w:line="300" w:lineRule="exact"/>
              <w:jc w:val="left"/>
              <w:outlineLvl w:val="1"/>
            </w:pPr>
          </w:p>
        </w:tc>
        <w:tc>
          <w:tcPr>
            <w:tcW w:w="8278" w:type="dxa"/>
            <w:gridSpan w:val="6"/>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哲学社会科学宣传、普及工作，开展年度社科普及宣传月系列活动和</w:t>
            </w:r>
            <w:r>
              <w:rPr>
                <w:rFonts w:hint="cs" w:ascii="方正书宋_GBK" w:eastAsia="方正书宋_GBK"/>
              </w:rPr>
              <w:t>“</w:t>
            </w:r>
            <w:r>
              <w:rPr>
                <w:rFonts w:hint="eastAsia" w:ascii="方正书宋_GBK" w:eastAsia="方正书宋_GBK"/>
              </w:rPr>
              <w:t>三下乡</w:t>
            </w:r>
            <w:r>
              <w:rPr>
                <w:rFonts w:hint="cs" w:ascii="方正书宋_GBK" w:eastAsia="方正书宋_GBK"/>
              </w:rPr>
              <w:t>”</w:t>
            </w:r>
            <w:r>
              <w:rPr>
                <w:rFonts w:hint="eastAsia" w:ascii="方正书宋_GBK" w:eastAsia="方正书宋_GBK"/>
              </w:rPr>
              <w:t>活动，社会科学普及基地建设等。打捆使用研究课题项目管理资助、社科普及读物项目申报资助、出版会刊《承德社会科学》。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资金支出计划（</w:t>
            </w:r>
            <w:r>
              <w:rPr>
                <w:rFonts w:ascii="方正书宋_GBK" w:eastAsia="方正书宋_GBK"/>
                <w:b/>
              </w:rPr>
              <w:t>%</w:t>
            </w:r>
            <w:r>
              <w:rPr>
                <w:rFonts w:hint="eastAsia" w:ascii="方正书宋_GBK" w:eastAsia="方正书宋_GBK"/>
                <w:b/>
              </w:rPr>
              <w:t>）</w:t>
            </w:r>
          </w:p>
        </w:tc>
        <w:tc>
          <w:tcPr>
            <w:tcW w:w="2410" w:type="dxa"/>
            <w:gridSpan w:val="2"/>
            <w:shd w:val="clear" w:color="auto" w:fill="auto"/>
            <w:noWrap w:val="0"/>
            <w:vAlign w:val="center"/>
          </w:tcPr>
          <w:p>
            <w:pPr>
              <w:spacing w:line="300" w:lineRule="exact"/>
              <w:jc w:val="center"/>
              <w:rPr>
                <w:rFonts w:ascii="方正书宋_GBK" w:eastAsia="方正书宋_GBK"/>
                <w:b/>
              </w:rPr>
            </w:pPr>
            <w:r>
              <w:rPr>
                <w:rFonts w:ascii="方正书宋_GBK" w:eastAsia="方正书宋_GBK"/>
                <w:b/>
              </w:rPr>
              <w:t>3</w:t>
            </w:r>
            <w:r>
              <w:rPr>
                <w:rFonts w:hint="eastAsia" w:ascii="方正书宋_GBK" w:eastAsia="方正书宋_GBK"/>
                <w:b/>
              </w:rPr>
              <w:t>月底</w:t>
            </w:r>
          </w:p>
        </w:tc>
        <w:tc>
          <w:tcPr>
            <w:tcW w:w="1587" w:type="dxa"/>
            <w:shd w:val="clear" w:color="auto" w:fill="auto"/>
            <w:noWrap w:val="0"/>
            <w:vAlign w:val="center"/>
          </w:tcPr>
          <w:p>
            <w:pPr>
              <w:spacing w:line="300" w:lineRule="exact"/>
              <w:jc w:val="center"/>
              <w:rPr>
                <w:rFonts w:ascii="方正书宋_GBK" w:eastAsia="方正书宋_GBK"/>
                <w:b/>
              </w:rPr>
            </w:pPr>
            <w:r>
              <w:rPr>
                <w:rFonts w:ascii="方正书宋_GBK" w:eastAsia="方正书宋_GBK"/>
                <w:b/>
              </w:rPr>
              <w:t>6</w:t>
            </w:r>
            <w:r>
              <w:rPr>
                <w:rFonts w:hint="eastAsia" w:ascii="方正书宋_GBK" w:eastAsia="方正书宋_GBK"/>
                <w:b/>
              </w:rPr>
              <w:t>月底</w:t>
            </w:r>
          </w:p>
        </w:tc>
        <w:tc>
          <w:tcPr>
            <w:tcW w:w="1304" w:type="dxa"/>
            <w:shd w:val="clear" w:color="auto" w:fill="auto"/>
            <w:noWrap w:val="0"/>
            <w:vAlign w:val="center"/>
          </w:tcPr>
          <w:p>
            <w:pPr>
              <w:spacing w:line="300" w:lineRule="exact"/>
              <w:jc w:val="center"/>
              <w:rPr>
                <w:rFonts w:ascii="方正书宋_GBK" w:eastAsia="方正书宋_GBK"/>
                <w:b/>
              </w:rPr>
            </w:pPr>
            <w:r>
              <w:rPr>
                <w:rFonts w:ascii="方正书宋_GBK" w:eastAsia="方正书宋_GBK"/>
                <w:b/>
              </w:rPr>
              <w:t>10</w:t>
            </w:r>
            <w:r>
              <w:rPr>
                <w:rFonts w:hint="eastAsia" w:ascii="方正书宋_GBK" w:eastAsia="方正书宋_GBK"/>
                <w:b/>
              </w:rPr>
              <w:t>月底</w:t>
            </w:r>
          </w:p>
        </w:tc>
        <w:tc>
          <w:tcPr>
            <w:tcW w:w="2977" w:type="dxa"/>
            <w:gridSpan w:val="2"/>
            <w:shd w:val="clear" w:color="auto" w:fill="auto"/>
            <w:noWrap w:val="0"/>
            <w:vAlign w:val="center"/>
          </w:tcPr>
          <w:p>
            <w:pPr>
              <w:spacing w:line="300" w:lineRule="exact"/>
              <w:jc w:val="center"/>
              <w:rPr>
                <w:rFonts w:ascii="方正书宋_GBK" w:eastAsia="方正书宋_GBK"/>
                <w:b/>
              </w:rPr>
            </w:pPr>
            <w:r>
              <w:rPr>
                <w:rFonts w:ascii="方正书宋_GBK" w:eastAsia="方正书宋_GBK"/>
                <w:b/>
              </w:rPr>
              <w:t>12</w:t>
            </w:r>
            <w:r>
              <w:rPr>
                <w:rFonts w:hint="eastAsia" w:ascii="方正书宋_GBK" w:eastAsia="方正书宋_GBK"/>
                <w:b/>
              </w:rPr>
              <w:t>月底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shd w:val="clear" w:color="auto" w:fill="auto"/>
            <w:noWrap w:val="0"/>
            <w:vAlign w:val="center"/>
          </w:tcPr>
          <w:p>
            <w:pPr>
              <w:spacing w:line="300" w:lineRule="exact"/>
              <w:jc w:val="left"/>
              <w:outlineLvl w:val="1"/>
            </w:pPr>
          </w:p>
        </w:tc>
        <w:tc>
          <w:tcPr>
            <w:tcW w:w="2410" w:type="dxa"/>
            <w:gridSpan w:val="2"/>
            <w:tcBorders>
              <w:bottom w:val="single" w:color="000000" w:sz="6" w:space="0"/>
            </w:tcBorders>
            <w:shd w:val="clear" w:color="auto" w:fill="auto"/>
            <w:noWrap w:val="0"/>
            <w:vAlign w:val="center"/>
          </w:tcPr>
          <w:p>
            <w:pPr>
              <w:spacing w:line="300" w:lineRule="exact"/>
              <w:jc w:val="center"/>
              <w:rPr>
                <w:rFonts w:ascii="方正书宋_GBK" w:eastAsia="方正书宋_GBK"/>
              </w:rPr>
            </w:pPr>
            <w:r>
              <w:rPr>
                <w:rFonts w:ascii="方正书宋_GBK" w:eastAsia="方正书宋_GBK"/>
              </w:rPr>
              <w:t>20.00</w:t>
            </w:r>
          </w:p>
        </w:tc>
        <w:tc>
          <w:tcPr>
            <w:tcW w:w="1587" w:type="dxa"/>
            <w:tcBorders>
              <w:bottom w:val="single" w:color="000000" w:sz="6" w:space="0"/>
            </w:tcBorders>
            <w:shd w:val="clear" w:color="auto" w:fill="auto"/>
            <w:noWrap w:val="0"/>
            <w:vAlign w:val="center"/>
          </w:tcPr>
          <w:p>
            <w:pPr>
              <w:spacing w:line="300" w:lineRule="exact"/>
              <w:jc w:val="center"/>
              <w:rPr>
                <w:rFonts w:ascii="方正书宋_GBK" w:eastAsia="方正书宋_GBK"/>
              </w:rPr>
            </w:pPr>
            <w:r>
              <w:rPr>
                <w:rFonts w:ascii="方正书宋_GBK" w:eastAsia="方正书宋_GBK"/>
              </w:rPr>
              <w:t>40.00</w:t>
            </w:r>
          </w:p>
        </w:tc>
        <w:tc>
          <w:tcPr>
            <w:tcW w:w="1304" w:type="dxa"/>
            <w:tcBorders>
              <w:bottom w:val="single" w:color="000000" w:sz="6" w:space="0"/>
            </w:tcBorders>
            <w:shd w:val="clear" w:color="auto" w:fill="auto"/>
            <w:noWrap w:val="0"/>
            <w:vAlign w:val="center"/>
          </w:tcPr>
          <w:p>
            <w:pPr>
              <w:spacing w:line="300" w:lineRule="exact"/>
              <w:jc w:val="center"/>
              <w:rPr>
                <w:rFonts w:ascii="方正书宋_GBK" w:eastAsia="方正书宋_GBK"/>
              </w:rPr>
            </w:pPr>
            <w:r>
              <w:rPr>
                <w:rFonts w:ascii="方正书宋_GBK" w:eastAsia="方正书宋_GBK"/>
              </w:rPr>
              <w:t>80.00</w:t>
            </w:r>
          </w:p>
        </w:tc>
        <w:tc>
          <w:tcPr>
            <w:tcW w:w="2977" w:type="dxa"/>
            <w:gridSpan w:val="2"/>
            <w:tcBorders>
              <w:bottom w:val="single" w:color="000000" w:sz="6" w:space="0"/>
            </w:tcBorders>
            <w:shd w:val="clear" w:color="auto" w:fill="auto"/>
            <w:noWrap w:val="0"/>
            <w:vAlign w:val="center"/>
          </w:tcPr>
          <w:p>
            <w:pPr>
              <w:spacing w:line="300" w:lineRule="exact"/>
              <w:jc w:val="center"/>
              <w:rPr>
                <w:rFonts w:ascii="方正书宋_GBK" w:eastAsia="方正书宋_GBK"/>
              </w:rPr>
            </w:pPr>
            <w:r>
              <w:rPr>
                <w:rFonts w:ascii="方正书宋_GBK" w:eastAsia="方正书宋_GBK"/>
              </w:rPr>
              <w:t>100.00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绩效目标</w:t>
            </w:r>
          </w:p>
        </w:tc>
        <w:tc>
          <w:tcPr>
            <w:tcW w:w="8278" w:type="dxa"/>
            <w:gridSpan w:val="6"/>
            <w:tcBorders>
              <w:bottom w:val="nil"/>
            </w:tcBorders>
            <w:shd w:val="clear" w:color="auto" w:fill="auto"/>
            <w:noWrap w:val="0"/>
            <w:vAlign w:val="center"/>
          </w:tcPr>
          <w:p>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、不断提升公民人文社科素养</w:t>
            </w:r>
          </w:p>
          <w:p>
            <w:pPr>
              <w:spacing w:line="300" w:lineRule="exact"/>
              <w:jc w:val="left"/>
              <w:rPr>
                <w:rFonts w:ascii="方正书宋_GBK" w:eastAsia="方正书宋_GBK"/>
              </w:rPr>
            </w:pPr>
            <w:r>
              <w:rPr>
                <w:rFonts w:ascii="方正书宋_GBK" w:eastAsia="方正书宋_GBK"/>
              </w:rPr>
              <w:t>2</w:t>
            </w:r>
            <w:r>
              <w:rPr>
                <w:rFonts w:hint="eastAsia" w:ascii="方正书宋_GBK" w:eastAsia="方正书宋_GBK"/>
              </w:rPr>
              <w:t>、发挥社科普及基地示范、带动、辐射作用</w:t>
            </w:r>
          </w:p>
        </w:tc>
      </w:tr>
    </w:tbl>
    <w:p>
      <w:pPr>
        <w:spacing w:line="14" w:lineRule="exact"/>
        <w:ind w:firstLine="420" w:firstLineChars="200"/>
        <w:jc w:val="center"/>
        <w:rPr>
          <w:rFonts w:ascii="Times New Roman" w:hAnsi="宋体"/>
        </w:rPr>
      </w:pPr>
      <w:r>
        <w:rPr>
          <w:rFonts w:ascii="方正书宋_GBK" w:eastAsia="方正书宋_GBK"/>
        </w:rPr>
        <w:t xml:space="preserve"> </w:t>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一级指标</w:t>
            </w:r>
          </w:p>
        </w:tc>
        <w:tc>
          <w:tcPr>
            <w:tcW w:w="1134"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二级指标</w:t>
            </w:r>
          </w:p>
        </w:tc>
        <w:tc>
          <w:tcPr>
            <w:tcW w:w="1276"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三级指标</w:t>
            </w:r>
          </w:p>
        </w:tc>
        <w:tc>
          <w:tcPr>
            <w:tcW w:w="2891"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绩效指标描述</w:t>
            </w:r>
          </w:p>
        </w:tc>
        <w:tc>
          <w:tcPr>
            <w:tcW w:w="1276"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指标值</w:t>
            </w:r>
          </w:p>
        </w:tc>
        <w:tc>
          <w:tcPr>
            <w:tcW w:w="1701"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pPr>
              <w:spacing w:line="300" w:lineRule="exact"/>
              <w:jc w:val="center"/>
              <w:rPr>
                <w:rFonts w:ascii="方正书宋_GBK" w:eastAsia="方正书宋_GBK"/>
              </w:rPr>
            </w:pPr>
            <w:r>
              <w:rPr>
                <w:rFonts w:hint="eastAsia" w:ascii="方正书宋_GBK" w:eastAsia="方正书宋_GBK"/>
              </w:rPr>
              <w:t>产出指标</w:t>
            </w:r>
          </w:p>
        </w:tc>
        <w:tc>
          <w:tcPr>
            <w:tcW w:w="1134"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数量指标</w:t>
            </w:r>
          </w:p>
        </w:tc>
        <w:tc>
          <w:tcPr>
            <w:tcW w:w="1276"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受众人数</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受众人数</w:t>
            </w:r>
          </w:p>
        </w:tc>
        <w:tc>
          <w:tcPr>
            <w:tcW w:w="1276"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w:t>
            </w:r>
            <w:r>
              <w:rPr>
                <w:rFonts w:ascii="方正书宋_GBK" w:eastAsia="方正书宋_GBK"/>
              </w:rPr>
              <w:t>10000</w:t>
            </w:r>
            <w:r>
              <w:rPr>
                <w:rFonts w:hint="eastAsia" w:ascii="方正书宋_GBK" w:eastAsia="方正书宋_GBK"/>
              </w:rPr>
              <w:t>人</w:t>
            </w:r>
          </w:p>
        </w:tc>
        <w:tc>
          <w:tcPr>
            <w:tcW w:w="170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受众人数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pPr>
              <w:spacing w:line="300" w:lineRule="exact"/>
              <w:jc w:val="center"/>
              <w:rPr>
                <w:rFonts w:hint="eastAsia" w:ascii="方正书宋_GBK" w:eastAsia="方正书宋_GBK"/>
              </w:rPr>
            </w:pP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成本指标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指导基地开展活动次数</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指导基地开展活动</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4</w:t>
            </w:r>
            <w:r>
              <w:rPr>
                <w:rFonts w:hint="eastAsia" w:ascii="方正书宋_GBK" w:eastAsia="方正书宋_GBK"/>
              </w:rPr>
              <w:t>次</w:t>
            </w:r>
          </w:p>
        </w:tc>
        <w:tc>
          <w:tcPr>
            <w:tcW w:w="1701"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指导基地开展活动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pPr>
              <w:spacing w:line="300" w:lineRule="exact"/>
              <w:jc w:val="center"/>
              <w:rPr>
                <w:rFonts w:hint="eastAsia" w:ascii="方正书宋_GBK" w:eastAsia="方正书宋_GBK"/>
              </w:rPr>
            </w:pP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时效指标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社科读物出版数量</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社科读物出版数量</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4</w:t>
            </w:r>
            <w:r>
              <w:rPr>
                <w:rFonts w:hint="eastAsia" w:ascii="方正书宋_GBK" w:eastAsia="方正书宋_GBK"/>
              </w:rPr>
              <w:t>册</w:t>
            </w:r>
          </w:p>
        </w:tc>
        <w:tc>
          <w:tcPr>
            <w:tcW w:w="1701"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社科读物出版数量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pPr>
              <w:spacing w:line="300" w:lineRule="exact"/>
              <w:jc w:val="center"/>
              <w:rPr>
                <w:rFonts w:hint="eastAsia" w:ascii="方正书宋_GBK" w:eastAsia="方正书宋_GBK"/>
              </w:rPr>
            </w:pP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质量指标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优良率</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社科成果优良率（百分比）</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20</w:t>
            </w:r>
            <w:r>
              <w:rPr>
                <w:rFonts w:hint="eastAsia" w:ascii="方正书宋_GBK" w:eastAsia="方正书宋_GBK"/>
              </w:rPr>
              <w:t>百分比</w:t>
            </w:r>
          </w:p>
        </w:tc>
        <w:tc>
          <w:tcPr>
            <w:tcW w:w="1701"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社科成果优良率（百分比）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pPr>
              <w:spacing w:line="300" w:lineRule="exact"/>
              <w:jc w:val="center"/>
              <w:rPr>
                <w:rFonts w:hint="eastAsia" w:ascii="方正书宋_GBK" w:eastAsia="方正书宋_GBK"/>
              </w:rPr>
            </w:pPr>
            <w:r>
              <w:rPr>
                <w:rFonts w:hint="eastAsia" w:ascii="方正书宋_GBK" w:eastAsia="方正书宋_GBK"/>
              </w:rPr>
              <w:t>效果指标</w:t>
            </w: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社会效益指标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完成率</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出版读物完成率</w:t>
            </w:r>
          </w:p>
        </w:tc>
        <w:tc>
          <w:tcPr>
            <w:tcW w:w="1276" w:type="dxa"/>
            <w:shd w:val="clear" w:color="auto" w:fill="auto"/>
            <w:noWrap w:val="0"/>
            <w:vAlign w:val="center"/>
          </w:tcPr>
          <w:p>
            <w:pPr>
              <w:spacing w:line="300" w:lineRule="exact"/>
              <w:jc w:val="left"/>
              <w:rPr>
                <w:rFonts w:hint="eastAsia" w:ascii="方正书宋_GBK" w:eastAsia="方正书宋_GBK"/>
              </w:rPr>
            </w:pPr>
            <w:r>
              <w:rPr>
                <w:rFonts w:ascii="方正书宋_GBK" w:eastAsia="方正书宋_GBK"/>
              </w:rPr>
              <w:t>100</w:t>
            </w:r>
            <w:r>
              <w:rPr>
                <w:rFonts w:hint="eastAsia" w:ascii="方正书宋_GBK" w:eastAsia="方正书宋_GBK"/>
              </w:rPr>
              <w:t>百分比</w:t>
            </w:r>
          </w:p>
        </w:tc>
        <w:tc>
          <w:tcPr>
            <w:tcW w:w="1701"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出版读物完成率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pPr>
              <w:spacing w:line="300" w:lineRule="exact"/>
              <w:jc w:val="center"/>
              <w:rPr>
                <w:rFonts w:hint="eastAsia" w:ascii="方正书宋_GBK" w:eastAsia="方正书宋_GBK"/>
              </w:rPr>
            </w:pP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可持续影响指标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长期使用性</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能够长期较好地开展展演、展映、展播、展示，长期满足人民群众对精神文化的需求。</w:t>
            </w:r>
          </w:p>
        </w:tc>
        <w:tc>
          <w:tcPr>
            <w:tcW w:w="1276"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w:t>
            </w:r>
            <w:r>
              <w:rPr>
                <w:rFonts w:ascii="方正书宋_GBK" w:eastAsia="方正书宋_GBK"/>
              </w:rPr>
              <w:t>13</w:t>
            </w:r>
            <w:r>
              <w:rPr>
                <w:rFonts w:hint="eastAsia" w:ascii="方正书宋_GBK" w:eastAsia="方正书宋_GBK"/>
              </w:rPr>
              <w:t>个</w:t>
            </w:r>
          </w:p>
        </w:tc>
        <w:tc>
          <w:tcPr>
            <w:tcW w:w="1701"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能够长期较好地开展展演、展映、展播、展示，长期满足人民群众对精神文化的需求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pPr>
              <w:spacing w:line="300" w:lineRule="exact"/>
              <w:jc w:val="center"/>
              <w:rPr>
                <w:rFonts w:hint="eastAsia" w:ascii="方正书宋_GBK" w:eastAsia="方正书宋_GBK"/>
              </w:rPr>
            </w:pPr>
            <w:r>
              <w:rPr>
                <w:rFonts w:hint="eastAsia" w:ascii="方正书宋_GBK" w:eastAsia="方正书宋_GBK"/>
              </w:rPr>
              <w:t>满意度指标</w:t>
            </w: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服务对象满意度指标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科普活动参与者满意度情况</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系列文化活动参与者满意人数占参与人数的比例</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80</w:t>
            </w:r>
            <w:r>
              <w:rPr>
                <w:rFonts w:hint="eastAsia" w:ascii="方正书宋_GBK" w:eastAsia="方正书宋_GBK"/>
              </w:rPr>
              <w:t>百分比</w:t>
            </w:r>
          </w:p>
        </w:tc>
        <w:tc>
          <w:tcPr>
            <w:tcW w:w="1701"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系列文化活动参与者满意人数占参与人数的比例</w:t>
            </w:r>
          </w:p>
        </w:tc>
      </w:tr>
    </w:tbl>
    <w:p>
      <w:pPr>
        <w:spacing w:line="300" w:lineRule="exact"/>
        <w:ind w:firstLine="420" w:firstLineChars="200"/>
        <w:jc w:val="left"/>
        <w:sectPr>
          <w:pgSz w:w="11907" w:h="16839"/>
          <w:pgMar w:top="1984" w:right="1304" w:bottom="1134" w:left="1304" w:header="851" w:footer="992" w:gutter="0"/>
          <w:cols w:space="425" w:num="1"/>
          <w:docGrid w:type="lines" w:linePitch="312" w:charSpace="0"/>
        </w:sectPr>
      </w:pPr>
    </w:p>
    <w:p>
      <w:pPr>
        <w:jc w:val="left"/>
        <w:outlineLvl w:val="1"/>
        <w:rPr>
          <w:rFonts w:ascii="Times New Roman" w:hAnsi="宋体"/>
          <w:b/>
          <w:sz w:val="28"/>
        </w:rPr>
      </w:pPr>
      <w:r>
        <w:rPr>
          <w:rFonts w:hint="eastAsia" w:ascii="方正仿宋_GBK" w:eastAsia="方正仿宋_GBK"/>
          <w:b/>
          <w:sz w:val="28"/>
        </w:rPr>
        <w:t>4、业务费绩效目标表</w:t>
      </w:r>
      <w:r>
        <w:fldChar w:fldCharType="begin"/>
      </w:r>
      <w:r>
        <w:rPr>
          <w:rFonts w:ascii="方正仿宋_GBK" w:eastAsia="方正仿宋_GBK"/>
          <w:b/>
          <w:sz w:val="28"/>
        </w:rPr>
        <w:instrText xml:space="preserve"> </w:instrText>
      </w:r>
      <w:r>
        <w:rPr>
          <w:rFonts w:hint="eastAsia" w:ascii="方正仿宋_GBK" w:eastAsia="方正仿宋_GBK"/>
          <w:b/>
          <w:sz w:val="28"/>
        </w:rPr>
        <w:instrText xml:space="preserve">TC </w:instrText>
      </w:r>
      <w:bookmarkStart w:id="4" w:name="_Toc31722178"/>
      <w:r>
        <w:rPr>
          <w:rFonts w:hint="eastAsia" w:ascii="方正仿宋_GBK" w:eastAsia="方正仿宋_GBK"/>
          <w:b/>
          <w:sz w:val="28"/>
        </w:rPr>
        <w:instrText xml:space="preserve">4、业务费绩效目标表</w:instrText>
      </w:r>
      <w:bookmarkEnd w:id="4"/>
      <w:r>
        <w:rPr>
          <w:rFonts w:hint="eastAsia" w:ascii="方正仿宋_GBK" w:eastAsia="方正仿宋_GBK"/>
          <w:b/>
          <w:sz w:val="28"/>
        </w:rPr>
        <w:instrText xml:space="preserve"> \f B \l 1</w:instrText>
      </w:r>
      <w:r>
        <w:rPr>
          <w:rFonts w:ascii="方正仿宋_GBK" w:eastAsia="方正仿宋_GBK"/>
          <w:b/>
          <w:sz w:val="28"/>
        </w:rPr>
        <w:instrText xml:space="preserve"> </w:instrText>
      </w:r>
      <w:r>
        <w:rPr>
          <w:rFonts w:ascii="方正仿宋_GBK" w:eastAsia="方正仿宋_GBK"/>
          <w:b/>
          <w:sz w:val="28"/>
        </w:rPr>
        <w:fldChar w:fldCharType="end"/>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shd w:val="clear" w:color="auto" w:fill="auto"/>
            <w:noWrap w:val="0"/>
            <w:vAlign w:val="center"/>
          </w:tcPr>
          <w:p>
            <w:pPr>
              <w:spacing w:line="300" w:lineRule="exact"/>
              <w:jc w:val="left"/>
              <w:rPr>
                <w:rFonts w:ascii="方正书宋_GBK" w:eastAsia="方正书宋_GBK"/>
                <w:b/>
              </w:rPr>
            </w:pPr>
          </w:p>
        </w:tc>
        <w:tc>
          <w:tcPr>
            <w:tcW w:w="1701" w:type="dxa"/>
            <w:tcBorders>
              <w:top w:val="single" w:color="FFFFFF" w:sz="6" w:space="0"/>
              <w:left w:val="single" w:color="FFFFFF" w:sz="6" w:space="0"/>
              <w:right w:val="single" w:color="FFFFFF" w:sz="6" w:space="0"/>
            </w:tcBorders>
            <w:shd w:val="clear" w:color="auto" w:fill="auto"/>
            <w:noWrap w:val="0"/>
            <w:vAlign w:val="center"/>
          </w:tcPr>
          <w:p>
            <w:pPr>
              <w:spacing w:line="300" w:lineRule="exact"/>
              <w:jc w:val="right"/>
              <w:rPr>
                <w:rFonts w:ascii="方正书宋_GBK" w:eastAsia="方正书宋_GBK"/>
              </w:rPr>
            </w:pPr>
            <w:r>
              <w:rPr>
                <w:rFonts w:hint="eastAsia" w:ascii="方正书宋_GBK" w:eastAsia="方正书宋_GBK"/>
              </w:rP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项目编码</w:t>
            </w:r>
          </w:p>
        </w:tc>
        <w:tc>
          <w:tcPr>
            <w:tcW w:w="2410" w:type="dxa"/>
            <w:gridSpan w:val="2"/>
            <w:shd w:val="clear" w:color="auto" w:fill="auto"/>
            <w:noWrap w:val="0"/>
            <w:vAlign w:val="center"/>
          </w:tcPr>
          <w:p>
            <w:pPr>
              <w:spacing w:line="300" w:lineRule="exact"/>
              <w:jc w:val="left"/>
              <w:rPr>
                <w:rFonts w:ascii="方正书宋_GBK" w:eastAsia="方正书宋_GBK"/>
              </w:rPr>
            </w:pPr>
            <w:r>
              <w:rPr>
                <w:rFonts w:ascii="方正书宋_GBK" w:eastAsia="方正书宋_GBK"/>
              </w:rPr>
              <w:t>000-9999-JSN-B0JP</w:t>
            </w:r>
          </w:p>
        </w:tc>
        <w:tc>
          <w:tcPr>
            <w:tcW w:w="1587"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专项资金名称</w:t>
            </w:r>
          </w:p>
        </w:tc>
        <w:tc>
          <w:tcPr>
            <w:tcW w:w="4281" w:type="dxa"/>
            <w:gridSpan w:val="3"/>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业务费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预算规模及资金用途</w:t>
            </w:r>
          </w:p>
        </w:tc>
        <w:tc>
          <w:tcPr>
            <w:tcW w:w="1134"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预算数</w:t>
            </w:r>
          </w:p>
        </w:tc>
        <w:tc>
          <w:tcPr>
            <w:tcW w:w="1276" w:type="dxa"/>
            <w:shd w:val="clear" w:color="auto" w:fill="auto"/>
            <w:noWrap w:val="0"/>
            <w:vAlign w:val="center"/>
          </w:tcPr>
          <w:p>
            <w:pPr>
              <w:spacing w:line="300" w:lineRule="exact"/>
              <w:jc w:val="left"/>
              <w:rPr>
                <w:rFonts w:ascii="方正书宋_GBK" w:eastAsia="方正书宋_GBK"/>
              </w:rPr>
            </w:pPr>
            <w:r>
              <w:rPr>
                <w:rFonts w:ascii="方正书宋_GBK" w:eastAsia="方正书宋_GBK"/>
              </w:rPr>
              <w:t>10.00</w:t>
            </w:r>
          </w:p>
        </w:tc>
        <w:tc>
          <w:tcPr>
            <w:tcW w:w="1587"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其中：财政资金</w:t>
            </w:r>
          </w:p>
        </w:tc>
        <w:tc>
          <w:tcPr>
            <w:tcW w:w="1304" w:type="dxa"/>
            <w:shd w:val="clear" w:color="auto" w:fill="auto"/>
            <w:noWrap w:val="0"/>
            <w:vAlign w:val="center"/>
          </w:tcPr>
          <w:p>
            <w:pPr>
              <w:spacing w:line="300" w:lineRule="exact"/>
              <w:jc w:val="left"/>
              <w:rPr>
                <w:rFonts w:ascii="方正书宋_GBK" w:eastAsia="方正书宋_GBK"/>
              </w:rPr>
            </w:pPr>
            <w:r>
              <w:rPr>
                <w:rFonts w:ascii="方正书宋_GBK" w:eastAsia="方正书宋_GBK"/>
              </w:rPr>
              <w:t>10.00</w:t>
            </w:r>
          </w:p>
        </w:tc>
        <w:tc>
          <w:tcPr>
            <w:tcW w:w="1276"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其他资金</w:t>
            </w:r>
          </w:p>
        </w:tc>
        <w:tc>
          <w:tcPr>
            <w:tcW w:w="1701" w:type="dxa"/>
            <w:shd w:val="clear" w:color="auto" w:fill="auto"/>
            <w:noWrap w:val="0"/>
            <w:vAlign w:val="center"/>
          </w:tcPr>
          <w:p>
            <w:pPr>
              <w:spacing w:line="300" w:lineRule="exact"/>
              <w:jc w:val="lef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shd w:val="clear" w:color="auto" w:fill="auto"/>
            <w:noWrap w:val="0"/>
            <w:vAlign w:val="center"/>
          </w:tcPr>
          <w:p>
            <w:pPr>
              <w:spacing w:line="300" w:lineRule="exact"/>
              <w:jc w:val="left"/>
              <w:outlineLvl w:val="1"/>
            </w:pPr>
          </w:p>
        </w:tc>
        <w:tc>
          <w:tcPr>
            <w:tcW w:w="8278" w:type="dxa"/>
            <w:gridSpan w:val="6"/>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全市哲学社会科学研究规划的执行，确保社科领域意识形态安全，社会群团组织管理与服务，开展社科理论宣讲与咨政服务，社科研究基地建设，承德特色学科体系建设，开展学术交流研讨活动等业务工作。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资金支出计划（</w:t>
            </w:r>
            <w:r>
              <w:rPr>
                <w:rFonts w:ascii="方正书宋_GBK" w:eastAsia="方正书宋_GBK"/>
                <w:b/>
              </w:rPr>
              <w:t>%</w:t>
            </w:r>
            <w:r>
              <w:rPr>
                <w:rFonts w:hint="eastAsia" w:ascii="方正书宋_GBK" w:eastAsia="方正书宋_GBK"/>
                <w:b/>
              </w:rPr>
              <w:t>）</w:t>
            </w:r>
          </w:p>
        </w:tc>
        <w:tc>
          <w:tcPr>
            <w:tcW w:w="2410" w:type="dxa"/>
            <w:gridSpan w:val="2"/>
            <w:shd w:val="clear" w:color="auto" w:fill="auto"/>
            <w:noWrap w:val="0"/>
            <w:vAlign w:val="center"/>
          </w:tcPr>
          <w:p>
            <w:pPr>
              <w:spacing w:line="300" w:lineRule="exact"/>
              <w:jc w:val="center"/>
              <w:rPr>
                <w:rFonts w:ascii="方正书宋_GBK" w:eastAsia="方正书宋_GBK"/>
                <w:b/>
              </w:rPr>
            </w:pPr>
            <w:r>
              <w:rPr>
                <w:rFonts w:ascii="方正书宋_GBK" w:eastAsia="方正书宋_GBK"/>
                <w:b/>
              </w:rPr>
              <w:t>3</w:t>
            </w:r>
            <w:r>
              <w:rPr>
                <w:rFonts w:hint="eastAsia" w:ascii="方正书宋_GBK" w:eastAsia="方正书宋_GBK"/>
                <w:b/>
              </w:rPr>
              <w:t>月底</w:t>
            </w:r>
          </w:p>
        </w:tc>
        <w:tc>
          <w:tcPr>
            <w:tcW w:w="1587" w:type="dxa"/>
            <w:shd w:val="clear" w:color="auto" w:fill="auto"/>
            <w:noWrap w:val="0"/>
            <w:vAlign w:val="center"/>
          </w:tcPr>
          <w:p>
            <w:pPr>
              <w:spacing w:line="300" w:lineRule="exact"/>
              <w:jc w:val="center"/>
              <w:rPr>
                <w:rFonts w:ascii="方正书宋_GBK" w:eastAsia="方正书宋_GBK"/>
                <w:b/>
              </w:rPr>
            </w:pPr>
            <w:r>
              <w:rPr>
                <w:rFonts w:ascii="方正书宋_GBK" w:eastAsia="方正书宋_GBK"/>
                <w:b/>
              </w:rPr>
              <w:t>6</w:t>
            </w:r>
            <w:r>
              <w:rPr>
                <w:rFonts w:hint="eastAsia" w:ascii="方正书宋_GBK" w:eastAsia="方正书宋_GBK"/>
                <w:b/>
              </w:rPr>
              <w:t>月底</w:t>
            </w:r>
          </w:p>
        </w:tc>
        <w:tc>
          <w:tcPr>
            <w:tcW w:w="1304" w:type="dxa"/>
            <w:shd w:val="clear" w:color="auto" w:fill="auto"/>
            <w:noWrap w:val="0"/>
            <w:vAlign w:val="center"/>
          </w:tcPr>
          <w:p>
            <w:pPr>
              <w:spacing w:line="300" w:lineRule="exact"/>
              <w:jc w:val="center"/>
              <w:rPr>
                <w:rFonts w:ascii="方正书宋_GBK" w:eastAsia="方正书宋_GBK"/>
                <w:b/>
              </w:rPr>
            </w:pPr>
            <w:r>
              <w:rPr>
                <w:rFonts w:ascii="方正书宋_GBK" w:eastAsia="方正书宋_GBK"/>
                <w:b/>
              </w:rPr>
              <w:t>10</w:t>
            </w:r>
            <w:r>
              <w:rPr>
                <w:rFonts w:hint="eastAsia" w:ascii="方正书宋_GBK" w:eastAsia="方正书宋_GBK"/>
                <w:b/>
              </w:rPr>
              <w:t>月底</w:t>
            </w:r>
          </w:p>
        </w:tc>
        <w:tc>
          <w:tcPr>
            <w:tcW w:w="2977" w:type="dxa"/>
            <w:gridSpan w:val="2"/>
            <w:shd w:val="clear" w:color="auto" w:fill="auto"/>
            <w:noWrap w:val="0"/>
            <w:vAlign w:val="center"/>
          </w:tcPr>
          <w:p>
            <w:pPr>
              <w:spacing w:line="300" w:lineRule="exact"/>
              <w:jc w:val="center"/>
              <w:rPr>
                <w:rFonts w:ascii="方正书宋_GBK" w:eastAsia="方正书宋_GBK"/>
                <w:b/>
              </w:rPr>
            </w:pPr>
            <w:r>
              <w:rPr>
                <w:rFonts w:ascii="方正书宋_GBK" w:eastAsia="方正书宋_GBK"/>
                <w:b/>
              </w:rPr>
              <w:t>12</w:t>
            </w:r>
            <w:r>
              <w:rPr>
                <w:rFonts w:hint="eastAsia" w:ascii="方正书宋_GBK" w:eastAsia="方正书宋_GBK"/>
                <w:b/>
              </w:rPr>
              <w:t>月底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shd w:val="clear" w:color="auto" w:fill="auto"/>
            <w:noWrap w:val="0"/>
            <w:vAlign w:val="center"/>
          </w:tcPr>
          <w:p>
            <w:pPr>
              <w:spacing w:line="300" w:lineRule="exact"/>
              <w:jc w:val="left"/>
              <w:outlineLvl w:val="1"/>
            </w:pPr>
          </w:p>
        </w:tc>
        <w:tc>
          <w:tcPr>
            <w:tcW w:w="2410" w:type="dxa"/>
            <w:gridSpan w:val="2"/>
            <w:tcBorders>
              <w:bottom w:val="single" w:color="000000" w:sz="6" w:space="0"/>
            </w:tcBorders>
            <w:shd w:val="clear" w:color="auto" w:fill="auto"/>
            <w:noWrap w:val="0"/>
            <w:vAlign w:val="center"/>
          </w:tcPr>
          <w:p>
            <w:pPr>
              <w:spacing w:line="300" w:lineRule="exact"/>
              <w:jc w:val="center"/>
              <w:rPr>
                <w:rFonts w:ascii="方正书宋_GBK" w:eastAsia="方正书宋_GBK"/>
              </w:rPr>
            </w:pPr>
            <w:r>
              <w:rPr>
                <w:rFonts w:ascii="方正书宋_GBK" w:eastAsia="方正书宋_GBK"/>
              </w:rPr>
              <w:t>10.00</w:t>
            </w:r>
          </w:p>
        </w:tc>
        <w:tc>
          <w:tcPr>
            <w:tcW w:w="1587" w:type="dxa"/>
            <w:tcBorders>
              <w:bottom w:val="single" w:color="000000" w:sz="6" w:space="0"/>
            </w:tcBorders>
            <w:shd w:val="clear" w:color="auto" w:fill="auto"/>
            <w:noWrap w:val="0"/>
            <w:vAlign w:val="center"/>
          </w:tcPr>
          <w:p>
            <w:pPr>
              <w:spacing w:line="300" w:lineRule="exact"/>
              <w:jc w:val="center"/>
              <w:rPr>
                <w:rFonts w:ascii="方正书宋_GBK" w:eastAsia="方正书宋_GBK"/>
              </w:rPr>
            </w:pPr>
            <w:r>
              <w:rPr>
                <w:rFonts w:ascii="方正书宋_GBK" w:eastAsia="方正书宋_GBK"/>
              </w:rPr>
              <w:t>20.00</w:t>
            </w:r>
          </w:p>
        </w:tc>
        <w:tc>
          <w:tcPr>
            <w:tcW w:w="1304" w:type="dxa"/>
            <w:tcBorders>
              <w:bottom w:val="single" w:color="000000" w:sz="6" w:space="0"/>
            </w:tcBorders>
            <w:shd w:val="clear" w:color="auto" w:fill="auto"/>
            <w:noWrap w:val="0"/>
            <w:vAlign w:val="center"/>
          </w:tcPr>
          <w:p>
            <w:pPr>
              <w:spacing w:line="300" w:lineRule="exact"/>
              <w:jc w:val="center"/>
              <w:rPr>
                <w:rFonts w:ascii="方正书宋_GBK" w:eastAsia="方正书宋_GBK"/>
              </w:rPr>
            </w:pPr>
            <w:r>
              <w:rPr>
                <w:rFonts w:ascii="方正书宋_GBK" w:eastAsia="方正书宋_GBK"/>
              </w:rPr>
              <w:t>50.00</w:t>
            </w:r>
          </w:p>
        </w:tc>
        <w:tc>
          <w:tcPr>
            <w:tcW w:w="2977" w:type="dxa"/>
            <w:gridSpan w:val="2"/>
            <w:tcBorders>
              <w:bottom w:val="single" w:color="000000" w:sz="6" w:space="0"/>
            </w:tcBorders>
            <w:shd w:val="clear" w:color="auto" w:fill="auto"/>
            <w:noWrap w:val="0"/>
            <w:vAlign w:val="center"/>
          </w:tcPr>
          <w:p>
            <w:pPr>
              <w:spacing w:line="300" w:lineRule="exact"/>
              <w:jc w:val="center"/>
              <w:rPr>
                <w:rFonts w:ascii="方正书宋_GBK" w:eastAsia="方正书宋_GBK"/>
              </w:rPr>
            </w:pPr>
            <w:r>
              <w:rPr>
                <w:rFonts w:ascii="方正书宋_GBK" w:eastAsia="方正书宋_GBK"/>
              </w:rPr>
              <w:t>100.00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绩效目标</w:t>
            </w:r>
          </w:p>
        </w:tc>
        <w:tc>
          <w:tcPr>
            <w:tcW w:w="8278" w:type="dxa"/>
            <w:gridSpan w:val="6"/>
            <w:tcBorders>
              <w:bottom w:val="nil"/>
            </w:tcBorders>
            <w:shd w:val="clear" w:color="auto" w:fill="auto"/>
            <w:noWrap w:val="0"/>
            <w:vAlign w:val="center"/>
          </w:tcPr>
          <w:p>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、计划工作、明确任务，解决问题</w:t>
            </w:r>
          </w:p>
          <w:p>
            <w:pPr>
              <w:spacing w:line="300" w:lineRule="exact"/>
              <w:jc w:val="left"/>
              <w:rPr>
                <w:rFonts w:ascii="方正书宋_GBK" w:eastAsia="方正书宋_GBK"/>
              </w:rPr>
            </w:pPr>
            <w:r>
              <w:rPr>
                <w:rFonts w:ascii="方正书宋_GBK" w:eastAsia="方正书宋_GBK"/>
              </w:rPr>
              <w:t>2</w:t>
            </w:r>
            <w:r>
              <w:rPr>
                <w:rFonts w:hint="eastAsia" w:ascii="方正书宋_GBK" w:eastAsia="方正书宋_GBK"/>
              </w:rPr>
              <w:t>、年度评审、评估定级工作全部通过</w:t>
            </w:r>
          </w:p>
        </w:tc>
      </w:tr>
    </w:tbl>
    <w:p>
      <w:pPr>
        <w:spacing w:line="14" w:lineRule="exact"/>
        <w:ind w:firstLine="420" w:firstLineChars="200"/>
        <w:jc w:val="center"/>
        <w:rPr>
          <w:rFonts w:ascii="Times New Roman" w:hAnsi="宋体"/>
        </w:rPr>
      </w:pPr>
      <w:r>
        <w:rPr>
          <w:rFonts w:ascii="方正书宋_GBK" w:eastAsia="方正书宋_GBK"/>
        </w:rPr>
        <w:t xml:space="preserve"> </w:t>
      </w:r>
    </w:p>
    <w:tbl>
      <w:tblPr>
        <w:tblStyle w:val="7"/>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一级指标</w:t>
            </w:r>
          </w:p>
        </w:tc>
        <w:tc>
          <w:tcPr>
            <w:tcW w:w="1134"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二级指标</w:t>
            </w:r>
          </w:p>
        </w:tc>
        <w:tc>
          <w:tcPr>
            <w:tcW w:w="1276"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三级指标</w:t>
            </w:r>
          </w:p>
        </w:tc>
        <w:tc>
          <w:tcPr>
            <w:tcW w:w="2891"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绩效指标描述</w:t>
            </w:r>
          </w:p>
        </w:tc>
        <w:tc>
          <w:tcPr>
            <w:tcW w:w="1276"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指标值</w:t>
            </w:r>
          </w:p>
        </w:tc>
        <w:tc>
          <w:tcPr>
            <w:tcW w:w="1701"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pPr>
              <w:spacing w:line="300" w:lineRule="exact"/>
              <w:jc w:val="center"/>
              <w:rPr>
                <w:rFonts w:ascii="方正书宋_GBK" w:eastAsia="方正书宋_GBK"/>
              </w:rPr>
            </w:pPr>
            <w:r>
              <w:rPr>
                <w:rFonts w:hint="eastAsia" w:ascii="方正书宋_GBK" w:eastAsia="方正书宋_GBK"/>
              </w:rPr>
              <w:t>产出指标</w:t>
            </w:r>
          </w:p>
        </w:tc>
        <w:tc>
          <w:tcPr>
            <w:tcW w:w="1134"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质量指标</w:t>
            </w:r>
          </w:p>
        </w:tc>
        <w:tc>
          <w:tcPr>
            <w:tcW w:w="1276"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合格率</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验收合格占总数比例</w:t>
            </w:r>
          </w:p>
        </w:tc>
        <w:tc>
          <w:tcPr>
            <w:tcW w:w="1276"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w:t>
            </w:r>
            <w:r>
              <w:rPr>
                <w:rFonts w:ascii="方正书宋_GBK" w:eastAsia="方正书宋_GBK"/>
              </w:rPr>
              <w:t>85</w:t>
            </w:r>
            <w:r>
              <w:rPr>
                <w:rFonts w:hint="eastAsia" w:ascii="方正书宋_GBK" w:eastAsia="方正书宋_GBK"/>
              </w:rPr>
              <w:t>百分比</w:t>
            </w:r>
          </w:p>
        </w:tc>
        <w:tc>
          <w:tcPr>
            <w:tcW w:w="170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验收合格占总数比例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pPr>
              <w:spacing w:line="300" w:lineRule="exact"/>
              <w:jc w:val="center"/>
              <w:rPr>
                <w:rFonts w:hint="eastAsia" w:ascii="方正书宋_GBK" w:eastAsia="方正书宋_GBK"/>
              </w:rPr>
            </w:pP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数量指标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培训人数</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参加培训学习的人数</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100</w:t>
            </w:r>
            <w:r>
              <w:rPr>
                <w:rFonts w:hint="eastAsia" w:ascii="方正书宋_GBK" w:eastAsia="方正书宋_GBK"/>
              </w:rPr>
              <w:t>人</w:t>
            </w:r>
          </w:p>
        </w:tc>
        <w:tc>
          <w:tcPr>
            <w:tcW w:w="1701"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参加培训学习的人数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pPr>
              <w:spacing w:line="300" w:lineRule="exact"/>
              <w:jc w:val="center"/>
              <w:rPr>
                <w:rFonts w:hint="eastAsia" w:ascii="方正书宋_GBK" w:eastAsia="方正书宋_GBK"/>
              </w:rPr>
            </w:pP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成本指标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组织培训的次数</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年会</w:t>
            </w:r>
            <w:r>
              <w:rPr>
                <w:rFonts w:ascii="方正书宋_GBK" w:eastAsia="方正书宋_GBK"/>
              </w:rPr>
              <w:t>,</w:t>
            </w:r>
            <w:r>
              <w:rPr>
                <w:rFonts w:hint="eastAsia" w:ascii="方正书宋_GBK" w:eastAsia="方正书宋_GBK"/>
              </w:rPr>
              <w:t>定期培训的次数</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4</w:t>
            </w:r>
            <w:r>
              <w:rPr>
                <w:rFonts w:hint="eastAsia" w:ascii="方正书宋_GBK" w:eastAsia="方正书宋_GBK"/>
              </w:rPr>
              <w:t>次</w:t>
            </w:r>
          </w:p>
        </w:tc>
        <w:tc>
          <w:tcPr>
            <w:tcW w:w="1701"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年会</w:t>
            </w:r>
            <w:r>
              <w:rPr>
                <w:rFonts w:ascii="方正书宋_GBK" w:eastAsia="方正书宋_GBK"/>
              </w:rPr>
              <w:t>,</w:t>
            </w:r>
            <w:r>
              <w:rPr>
                <w:rFonts w:hint="eastAsia" w:ascii="方正书宋_GBK" w:eastAsia="方正书宋_GBK"/>
              </w:rPr>
              <w:t>定期培训的次数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pPr>
              <w:spacing w:line="300" w:lineRule="exact"/>
              <w:jc w:val="center"/>
              <w:rPr>
                <w:rFonts w:hint="eastAsia" w:ascii="方正书宋_GBK" w:eastAsia="方正书宋_GBK"/>
              </w:rPr>
            </w:pP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时效指标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完成率</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培训完成率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85</w:t>
            </w:r>
            <w:r>
              <w:rPr>
                <w:rFonts w:hint="eastAsia" w:ascii="方正书宋_GBK" w:eastAsia="方正书宋_GBK"/>
              </w:rPr>
              <w:t>百分比</w:t>
            </w:r>
          </w:p>
        </w:tc>
        <w:tc>
          <w:tcPr>
            <w:tcW w:w="1701"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培训完成率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pPr>
              <w:spacing w:line="300" w:lineRule="exact"/>
              <w:jc w:val="center"/>
              <w:rPr>
                <w:rFonts w:hint="eastAsia" w:ascii="方正书宋_GBK" w:eastAsia="方正书宋_GBK"/>
              </w:rPr>
            </w:pPr>
            <w:r>
              <w:rPr>
                <w:rFonts w:hint="eastAsia" w:ascii="方正书宋_GBK" w:eastAsia="方正书宋_GBK"/>
              </w:rPr>
              <w:t>效果指标</w:t>
            </w: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可持续影响指标</w:t>
            </w:r>
          </w:p>
        </w:tc>
        <w:tc>
          <w:tcPr>
            <w:tcW w:w="1276" w:type="dxa"/>
            <w:shd w:val="clear" w:color="auto" w:fill="auto"/>
            <w:noWrap w:val="0"/>
            <w:vAlign w:val="center"/>
          </w:tcPr>
          <w:p>
            <w:pPr>
              <w:spacing w:line="300" w:lineRule="exact"/>
              <w:jc w:val="left"/>
              <w:rPr>
                <w:rFonts w:hint="eastAsia" w:ascii="方正书宋_GBK" w:eastAsia="方正书宋_GBK"/>
              </w:rPr>
            </w:pPr>
            <w:r>
              <w:rPr>
                <w:rFonts w:ascii="方正书宋_GBK" w:eastAsia="方正书宋_GBK"/>
              </w:rPr>
              <w:t>1A</w:t>
            </w:r>
            <w:r>
              <w:rPr>
                <w:rFonts w:hint="eastAsia" w:ascii="方正书宋_GBK" w:eastAsia="方正书宋_GBK"/>
              </w:rPr>
              <w:t>达标率</w:t>
            </w:r>
          </w:p>
        </w:tc>
        <w:tc>
          <w:tcPr>
            <w:tcW w:w="2891" w:type="dxa"/>
            <w:shd w:val="clear" w:color="auto" w:fill="auto"/>
            <w:noWrap w:val="0"/>
            <w:vAlign w:val="center"/>
          </w:tcPr>
          <w:p>
            <w:pPr>
              <w:spacing w:line="300" w:lineRule="exact"/>
              <w:jc w:val="left"/>
              <w:rPr>
                <w:rFonts w:ascii="方正书宋_GBK" w:eastAsia="方正书宋_GBK"/>
              </w:rPr>
            </w:pPr>
            <w:r>
              <w:rPr>
                <w:rFonts w:ascii="方正书宋_GBK" w:eastAsia="方正书宋_GBK"/>
              </w:rPr>
              <w:t>1A</w:t>
            </w:r>
            <w:r>
              <w:rPr>
                <w:rFonts w:hint="eastAsia" w:ascii="方正书宋_GBK" w:eastAsia="方正书宋_GBK"/>
              </w:rPr>
              <w:t>级达标达到</w:t>
            </w:r>
            <w:r>
              <w:rPr>
                <w:rFonts w:ascii="方正书宋_GBK" w:eastAsia="方正书宋_GBK"/>
              </w:rPr>
              <w:t>30%</w:t>
            </w:r>
            <w:r>
              <w:rPr>
                <w:rFonts w:hint="eastAsia" w:ascii="方正书宋_GBK" w:eastAsia="方正书宋_GBK"/>
              </w:rPr>
              <w:t>个单位数</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30</w:t>
            </w:r>
            <w:r>
              <w:rPr>
                <w:rFonts w:hint="eastAsia" w:ascii="方正书宋_GBK" w:eastAsia="方正书宋_GBK"/>
              </w:rPr>
              <w:t>百分比</w:t>
            </w:r>
          </w:p>
        </w:tc>
        <w:tc>
          <w:tcPr>
            <w:tcW w:w="1701" w:type="dxa"/>
            <w:shd w:val="clear" w:color="auto" w:fill="auto"/>
            <w:noWrap w:val="0"/>
            <w:vAlign w:val="center"/>
          </w:tcPr>
          <w:p>
            <w:pPr>
              <w:spacing w:line="300" w:lineRule="exact"/>
              <w:jc w:val="left"/>
              <w:rPr>
                <w:rFonts w:hint="eastAsia" w:ascii="方正书宋_GBK" w:eastAsia="方正书宋_GBK"/>
              </w:rPr>
            </w:pPr>
            <w:r>
              <w:rPr>
                <w:rFonts w:ascii="方正书宋_GBK" w:eastAsia="方正书宋_GBK"/>
              </w:rPr>
              <w:t>1A</w:t>
            </w:r>
            <w:r>
              <w:rPr>
                <w:rFonts w:hint="eastAsia" w:ascii="方正书宋_GBK" w:eastAsia="方正书宋_GBK"/>
              </w:rPr>
              <w:t>级达标达到</w:t>
            </w:r>
            <w:r>
              <w:rPr>
                <w:rFonts w:ascii="方正书宋_GBK" w:eastAsia="方正书宋_GBK"/>
              </w:rPr>
              <w:t>30%</w:t>
            </w:r>
            <w:r>
              <w:rPr>
                <w:rFonts w:hint="eastAsia" w:ascii="方正书宋_GBK" w:eastAsia="方正书宋_GBK"/>
              </w:rPr>
              <w:t>个单位数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pPr>
              <w:spacing w:line="300" w:lineRule="exact"/>
              <w:jc w:val="center"/>
              <w:rPr>
                <w:rFonts w:hint="eastAsia" w:ascii="方正书宋_GBK" w:eastAsia="方正书宋_GBK"/>
              </w:rPr>
            </w:pP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经济效益指标</w:t>
            </w:r>
          </w:p>
        </w:tc>
        <w:tc>
          <w:tcPr>
            <w:tcW w:w="1276"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增加率</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新增学会</w:t>
            </w:r>
            <w:r>
              <w:rPr>
                <w:rFonts w:ascii="方正书宋_GBK" w:eastAsia="方正书宋_GBK"/>
              </w:rPr>
              <w:t>,</w:t>
            </w:r>
            <w:r>
              <w:rPr>
                <w:rFonts w:hint="eastAsia" w:ascii="方正书宋_GBK" w:eastAsia="方正书宋_GBK"/>
              </w:rPr>
              <w:t>基地</w:t>
            </w:r>
            <w:r>
              <w:rPr>
                <w:rFonts w:ascii="方正书宋_GBK" w:eastAsia="方正书宋_GBK"/>
              </w:rPr>
              <w:t>,</w:t>
            </w:r>
            <w:r>
              <w:rPr>
                <w:rFonts w:hint="eastAsia" w:ascii="方正书宋_GBK" w:eastAsia="方正书宋_GBK"/>
              </w:rPr>
              <w:t>重大课题占原百分比</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百分比</w:t>
            </w:r>
          </w:p>
        </w:tc>
        <w:tc>
          <w:tcPr>
            <w:tcW w:w="170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新增学会</w:t>
            </w:r>
            <w:r>
              <w:rPr>
                <w:rFonts w:ascii="方正书宋_GBK" w:eastAsia="方正书宋_GBK"/>
              </w:rPr>
              <w:t>,</w:t>
            </w:r>
            <w:r>
              <w:rPr>
                <w:rFonts w:hint="eastAsia" w:ascii="方正书宋_GBK" w:eastAsia="方正书宋_GBK"/>
              </w:rPr>
              <w:t>基地</w:t>
            </w:r>
            <w:r>
              <w:rPr>
                <w:rFonts w:ascii="方正书宋_GBK" w:eastAsia="方正书宋_GBK"/>
              </w:rPr>
              <w:t>,</w:t>
            </w:r>
            <w:r>
              <w:rPr>
                <w:rFonts w:hint="eastAsia" w:ascii="方正书宋_GBK" w:eastAsia="方正书宋_GBK"/>
              </w:rPr>
              <w:t>重大课题占原百分比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pPr>
              <w:spacing w:line="300" w:lineRule="exact"/>
              <w:jc w:val="center"/>
              <w:rPr>
                <w:rFonts w:hint="eastAsia" w:ascii="方正书宋_GBK" w:eastAsia="方正书宋_GBK"/>
              </w:rPr>
            </w:pP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社会效益指标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完成率</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督导</w:t>
            </w:r>
            <w:r>
              <w:rPr>
                <w:rFonts w:ascii="方正书宋_GBK" w:eastAsia="方正书宋_GBK"/>
              </w:rPr>
              <w:t>,,</w:t>
            </w:r>
            <w:r>
              <w:rPr>
                <w:rFonts w:hint="eastAsia" w:ascii="方正书宋_GBK" w:eastAsia="方正书宋_GBK"/>
              </w:rPr>
              <w:t>检验次数</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40</w:t>
            </w:r>
            <w:r>
              <w:rPr>
                <w:rFonts w:hint="eastAsia" w:ascii="方正书宋_GBK" w:eastAsia="方正书宋_GBK"/>
              </w:rPr>
              <w:t>个数</w:t>
            </w:r>
          </w:p>
        </w:tc>
        <w:tc>
          <w:tcPr>
            <w:tcW w:w="1701"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督导</w:t>
            </w:r>
            <w:r>
              <w:rPr>
                <w:rFonts w:ascii="方正书宋_GBK" w:eastAsia="方正书宋_GBK"/>
              </w:rPr>
              <w:t>,,</w:t>
            </w:r>
            <w:r>
              <w:rPr>
                <w:rFonts w:hint="eastAsia" w:ascii="方正书宋_GBK" w:eastAsia="方正书宋_GBK"/>
              </w:rPr>
              <w:t>检验次数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pPr>
              <w:spacing w:line="300" w:lineRule="exact"/>
              <w:jc w:val="center"/>
              <w:rPr>
                <w:rFonts w:hint="eastAsia" w:ascii="方正书宋_GBK" w:eastAsia="方正书宋_GBK"/>
              </w:rPr>
            </w:pPr>
            <w:r>
              <w:rPr>
                <w:rFonts w:hint="eastAsia" w:ascii="方正书宋_GBK" w:eastAsia="方正书宋_GBK"/>
              </w:rPr>
              <w:t>满意度指标</w:t>
            </w:r>
          </w:p>
        </w:tc>
        <w:tc>
          <w:tcPr>
            <w:tcW w:w="1134"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服务对象满意度指标</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服务对象满意度</w:t>
            </w:r>
          </w:p>
        </w:tc>
        <w:tc>
          <w:tcPr>
            <w:tcW w:w="2891" w:type="dxa"/>
            <w:shd w:val="clear" w:color="auto" w:fill="auto"/>
            <w:noWrap w:val="0"/>
            <w:vAlign w:val="center"/>
          </w:tcPr>
          <w:p>
            <w:pPr>
              <w:spacing w:line="300" w:lineRule="exact"/>
              <w:jc w:val="left"/>
              <w:rPr>
                <w:rFonts w:ascii="方正书宋_GBK" w:eastAsia="方正书宋_GBK"/>
              </w:rPr>
            </w:pPr>
            <w:r>
              <w:rPr>
                <w:rFonts w:hint="eastAsia" w:ascii="方正书宋_GBK" w:eastAsia="方正书宋_GBK"/>
              </w:rPr>
              <w:t>接受评估单位满意程度</w:t>
            </w:r>
          </w:p>
        </w:tc>
        <w:tc>
          <w:tcPr>
            <w:tcW w:w="1276"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85</w:t>
            </w:r>
            <w:r>
              <w:rPr>
                <w:rFonts w:hint="eastAsia" w:ascii="方正书宋_GBK" w:eastAsia="方正书宋_GBK"/>
              </w:rPr>
              <w:t>百分比</w:t>
            </w:r>
          </w:p>
        </w:tc>
        <w:tc>
          <w:tcPr>
            <w:tcW w:w="1701" w:type="dxa"/>
            <w:shd w:val="clear" w:color="auto" w:fill="auto"/>
            <w:noWrap w:val="0"/>
            <w:vAlign w:val="center"/>
          </w:tcPr>
          <w:p>
            <w:pPr>
              <w:spacing w:line="300" w:lineRule="exact"/>
              <w:jc w:val="left"/>
              <w:rPr>
                <w:rFonts w:hint="eastAsia" w:ascii="方正书宋_GBK" w:eastAsia="方正书宋_GBK"/>
              </w:rPr>
            </w:pPr>
            <w:r>
              <w:rPr>
                <w:rFonts w:hint="eastAsia" w:ascii="方正书宋_GBK" w:eastAsia="方正书宋_GBK"/>
              </w:rPr>
              <w:t>接受评估单位满意程度</w:t>
            </w:r>
          </w:p>
        </w:tc>
      </w:tr>
    </w:tbl>
    <w:p>
      <w:pPr>
        <w:spacing w:line="300" w:lineRule="exact"/>
        <w:ind w:firstLine="420" w:firstLineChars="200"/>
        <w:jc w:val="left"/>
        <w:sectPr>
          <w:pgSz w:w="11907" w:h="16839"/>
          <w:pgMar w:top="1984" w:right="1304" w:bottom="1134" w:left="1304" w:header="851" w:footer="992" w:gutter="0"/>
          <w:cols w:space="425" w:num="1"/>
          <w:docGrid w:type="lines" w:linePitch="312" w:charSpace="0"/>
        </w:sectPr>
      </w:pPr>
    </w:p>
    <w:p>
      <w:pPr>
        <w:autoSpaceDE w:val="0"/>
        <w:autoSpaceDN w:val="0"/>
        <w:adjustRightInd w:val="0"/>
        <w:ind w:firstLine="640" w:firstLineChars="200"/>
        <w:jc w:val="left"/>
        <w:rPr>
          <w:rFonts w:ascii="黑体" w:hAnsi="黑体" w:eastAsia="黑体" w:cs="Times New Roman"/>
          <w:color w:val="auto"/>
          <w:sz w:val="32"/>
          <w:szCs w:val="32"/>
        </w:rPr>
      </w:pPr>
      <w:r>
        <w:rPr>
          <w:rFonts w:hint="eastAsia" w:ascii="黑体" w:hAnsi="黑体" w:eastAsia="黑体" w:cs="Times New Roman"/>
          <w:color w:val="auto"/>
          <w:sz w:val="32"/>
          <w:szCs w:val="32"/>
        </w:rPr>
        <w:t>六、政府采购预算情况</w:t>
      </w:r>
    </w:p>
    <w:p>
      <w:pPr>
        <w:outlineLvl w:val="0"/>
        <w:rPr>
          <w:rFonts w:hint="eastAsia" w:ascii="Times New Roman" w:hAnsi="Times New Roman" w:eastAsia="方正仿宋_GBK" w:cs="Times New Roman"/>
          <w:sz w:val="32"/>
          <w:szCs w:val="24"/>
        </w:rPr>
      </w:pPr>
      <w:bookmarkStart w:id="5" w:name="_Toc471398468"/>
      <w:r>
        <w:rPr>
          <w:rFonts w:ascii="Times New Roman" w:hAnsi="Times New Roman" w:eastAsia="方正仿宋_GBK" w:cs="Times New Roman"/>
          <w:sz w:val="32"/>
          <w:szCs w:val="24"/>
        </w:rPr>
        <w:t xml:space="preserve">   20</w:t>
      </w:r>
      <w:r>
        <w:rPr>
          <w:rFonts w:hint="eastAsia" w:ascii="Times New Roman" w:hAnsi="Times New Roman" w:eastAsia="方正仿宋_GBK" w:cs="Times New Roman"/>
          <w:sz w:val="32"/>
          <w:szCs w:val="24"/>
          <w:lang w:val="en-US" w:eastAsia="zh-CN"/>
        </w:rPr>
        <w:t>20</w:t>
      </w:r>
      <w:r>
        <w:rPr>
          <w:rFonts w:ascii="Times New Roman" w:hAnsi="Times New Roman" w:eastAsia="方正仿宋_GBK" w:cs="Times New Roman"/>
          <w:sz w:val="32"/>
          <w:szCs w:val="24"/>
        </w:rPr>
        <w:t>年，安排政府采购预算</w:t>
      </w:r>
      <w:r>
        <w:rPr>
          <w:rFonts w:hint="eastAsia" w:ascii="Times New Roman" w:hAnsi="Times New Roman" w:eastAsia="方正仿宋_GBK" w:cs="Times New Roman"/>
          <w:color w:val="auto"/>
          <w:sz w:val="32"/>
          <w:szCs w:val="24"/>
          <w:lang w:val="en-US" w:eastAsia="zh-CN"/>
        </w:rPr>
        <w:t>2.76</w:t>
      </w:r>
      <w:r>
        <w:rPr>
          <w:rFonts w:ascii="Times New Roman" w:hAnsi="Times New Roman" w:eastAsia="方正仿宋_GBK" w:cs="Times New Roman"/>
          <w:sz w:val="32"/>
          <w:szCs w:val="24"/>
        </w:rPr>
        <w:t>万元。具体内容见下表</w:t>
      </w:r>
      <w:r>
        <w:rPr>
          <w:rFonts w:hint="eastAsia" w:ascii="Times New Roman" w:hAnsi="Times New Roman" w:eastAsia="方正仿宋_GBK" w:cs="Times New Roman"/>
          <w:sz w:val="32"/>
          <w:szCs w:val="24"/>
          <w:lang w:eastAsia="zh-CN"/>
        </w:rPr>
        <w:t>：</w:t>
      </w:r>
    </w:p>
    <w:p>
      <w:pPr>
        <w:jc w:val="center"/>
        <w:outlineLvl w:val="0"/>
        <w:rPr>
          <w:rFonts w:ascii="方正小标宋_GBK" w:eastAsia="方正小标宋_GBK"/>
          <w:sz w:val="32"/>
        </w:rPr>
      </w:pPr>
      <w:bookmarkStart w:id="6" w:name="_Toc503971530"/>
      <w:r>
        <w:rPr>
          <w:rFonts w:hint="eastAsia" w:ascii="方正小标宋_GBK" w:eastAsia="方正小标宋_GBK"/>
          <w:sz w:val="32"/>
        </w:rPr>
        <w:t>部门政府采购预算</w:t>
      </w:r>
      <w:bookmarkEnd w:id="6"/>
    </w:p>
    <w:tbl>
      <w:tblPr>
        <w:tblStyle w:val="7"/>
        <w:tblW w:w="1369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1"/>
        <w:gridCol w:w="878"/>
        <w:gridCol w:w="1290"/>
        <w:gridCol w:w="1335"/>
        <w:gridCol w:w="714"/>
        <w:gridCol w:w="742"/>
        <w:gridCol w:w="859"/>
        <w:gridCol w:w="887"/>
        <w:gridCol w:w="916"/>
        <w:gridCol w:w="916"/>
        <w:gridCol w:w="916"/>
        <w:gridCol w:w="919"/>
        <w:gridCol w:w="9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95" w:hRule="atLeast"/>
          <w:tblHeader/>
          <w:jc w:val="center"/>
        </w:trPr>
        <w:tc>
          <w:tcPr>
            <w:tcW w:w="8219" w:type="dxa"/>
            <w:gridSpan w:val="7"/>
            <w:tcBorders>
              <w:top w:val="single" w:color="FFFFFF" w:sz="6" w:space="0"/>
              <w:left w:val="single" w:color="FFFFFF" w:sz="6" w:space="0"/>
              <w:right w:val="single" w:color="FFFFFF" w:sz="6" w:space="0"/>
            </w:tcBorders>
            <w:vAlign w:val="center"/>
          </w:tcPr>
          <w:p>
            <w:pPr>
              <w:spacing w:line="300" w:lineRule="exact"/>
              <w:jc w:val="left"/>
              <w:rPr>
                <w:rFonts w:ascii="方正小标宋_GBK" w:eastAsia="方正小标宋_GBK"/>
                <w:sz w:val="24"/>
              </w:rPr>
            </w:pPr>
            <w:r>
              <w:rPr>
                <w:rFonts w:hint="eastAsia" w:ascii="方正小标宋_GBK" w:eastAsia="方正小标宋_GBK"/>
                <w:sz w:val="24"/>
              </w:rPr>
              <w:t>191承德市社会科学界联合会</w:t>
            </w:r>
          </w:p>
        </w:tc>
        <w:tc>
          <w:tcPr>
            <w:tcW w:w="5473" w:type="dxa"/>
            <w:gridSpan w:val="6"/>
            <w:tcBorders>
              <w:top w:val="single" w:color="FFFFFF" w:sz="6" w:space="0"/>
              <w:left w:val="single" w:color="FFFFFF" w:sz="6" w:space="0"/>
              <w:right w:val="single" w:color="FFFFFF" w:sz="6" w:space="0"/>
            </w:tcBorders>
            <w:vAlign w:val="center"/>
          </w:tcPr>
          <w:p>
            <w:pPr>
              <w:spacing w:line="300" w:lineRule="exact"/>
              <w:jc w:val="right"/>
              <w:rPr>
                <w:rFonts w:hint="eastAsia" w:ascii="方正书宋_GBK" w:eastAsia="方正书宋_GBK"/>
                <w:sz w:val="24"/>
              </w:rPr>
            </w:pPr>
            <w:r>
              <w:rPr>
                <w:rFonts w:hint="eastAsia" w:ascii="方正书宋_GBK" w:eastAsia="方正书宋_GBK"/>
                <w:sz w:val="24"/>
              </w:rP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3279" w:type="dxa"/>
            <w:gridSpan w:val="2"/>
            <w:vAlign w:val="center"/>
          </w:tcPr>
          <w:p>
            <w:pPr>
              <w:spacing w:line="300" w:lineRule="exact"/>
              <w:jc w:val="center"/>
              <w:rPr>
                <w:rFonts w:ascii="方正书宋_GBK" w:eastAsia="方正书宋_GBK"/>
                <w:b/>
              </w:rPr>
            </w:pPr>
            <w:r>
              <w:rPr>
                <w:rFonts w:hint="eastAsia" w:ascii="方正书宋_GBK" w:eastAsia="方正书宋_GBK"/>
                <w:b/>
              </w:rPr>
              <w:t>政府采购项目来源</w:t>
            </w:r>
          </w:p>
        </w:tc>
        <w:tc>
          <w:tcPr>
            <w:tcW w:w="1290" w:type="dxa"/>
            <w:vMerge w:val="restart"/>
            <w:vAlign w:val="center"/>
          </w:tcPr>
          <w:p>
            <w:pPr>
              <w:spacing w:line="300" w:lineRule="exact"/>
              <w:jc w:val="center"/>
              <w:rPr>
                <w:rFonts w:ascii="方正书宋_GBK" w:eastAsia="方正书宋_GBK"/>
                <w:b/>
              </w:rPr>
            </w:pPr>
            <w:r>
              <w:rPr>
                <w:rFonts w:hint="eastAsia" w:ascii="方正书宋_GBK" w:eastAsia="方正书宋_GBK"/>
                <w:b/>
              </w:rPr>
              <w:t>采购物品名称</w:t>
            </w:r>
          </w:p>
        </w:tc>
        <w:tc>
          <w:tcPr>
            <w:tcW w:w="1335" w:type="dxa"/>
            <w:vMerge w:val="restart"/>
            <w:vAlign w:val="center"/>
          </w:tcPr>
          <w:p>
            <w:pPr>
              <w:spacing w:line="300" w:lineRule="exact"/>
              <w:jc w:val="center"/>
              <w:rPr>
                <w:rFonts w:ascii="方正书宋_GBK" w:eastAsia="方正书宋_GBK"/>
                <w:b/>
              </w:rPr>
            </w:pPr>
            <w:r>
              <w:rPr>
                <w:rFonts w:hint="eastAsia" w:ascii="方正书宋_GBK" w:eastAsia="方正书宋_GBK"/>
                <w:b/>
              </w:rPr>
              <w:t>政府采购目录序号</w:t>
            </w:r>
          </w:p>
        </w:tc>
        <w:tc>
          <w:tcPr>
            <w:tcW w:w="714" w:type="dxa"/>
            <w:vMerge w:val="restart"/>
            <w:vAlign w:val="center"/>
          </w:tcPr>
          <w:p>
            <w:pPr>
              <w:spacing w:line="300" w:lineRule="exact"/>
              <w:jc w:val="center"/>
              <w:rPr>
                <w:rFonts w:ascii="方正书宋_GBK" w:eastAsia="方正书宋_GBK"/>
                <w:b/>
              </w:rPr>
            </w:pPr>
            <w:r>
              <w:rPr>
                <w:rFonts w:hint="eastAsia" w:ascii="方正书宋_GBK" w:eastAsia="方正书宋_GBK"/>
                <w:b/>
                <w:lang w:eastAsia="zh-CN"/>
              </w:rPr>
              <w:t>计</w:t>
            </w:r>
            <w:r>
              <w:rPr>
                <w:rFonts w:hint="eastAsia" w:ascii="方正书宋_GBK" w:eastAsia="方正书宋_GBK"/>
                <w:b/>
              </w:rPr>
              <w:t>量单位</w:t>
            </w:r>
          </w:p>
        </w:tc>
        <w:tc>
          <w:tcPr>
            <w:tcW w:w="742" w:type="dxa"/>
            <w:vMerge w:val="restart"/>
            <w:vAlign w:val="center"/>
          </w:tcPr>
          <w:p>
            <w:pPr>
              <w:spacing w:line="300" w:lineRule="exact"/>
              <w:jc w:val="center"/>
              <w:rPr>
                <w:rFonts w:ascii="方正书宋_GBK" w:eastAsia="方正书宋_GBK"/>
                <w:b/>
              </w:rPr>
            </w:pPr>
            <w:r>
              <w:rPr>
                <w:rFonts w:hint="eastAsia" w:ascii="方正书宋_GBK" w:eastAsia="方正书宋_GBK"/>
                <w:b/>
              </w:rPr>
              <w:t>数量</w:t>
            </w:r>
          </w:p>
        </w:tc>
        <w:tc>
          <w:tcPr>
            <w:tcW w:w="859" w:type="dxa"/>
            <w:vMerge w:val="restart"/>
            <w:vAlign w:val="center"/>
          </w:tcPr>
          <w:p>
            <w:pPr>
              <w:spacing w:line="300" w:lineRule="exact"/>
              <w:jc w:val="center"/>
              <w:rPr>
                <w:rFonts w:ascii="方正书宋_GBK" w:eastAsia="方正书宋_GBK"/>
                <w:b/>
              </w:rPr>
            </w:pPr>
            <w:r>
              <w:rPr>
                <w:rFonts w:hint="eastAsia" w:ascii="方正书宋_GBK" w:eastAsia="方正书宋_GBK"/>
                <w:b/>
              </w:rPr>
              <w:t>单价</w:t>
            </w:r>
          </w:p>
        </w:tc>
        <w:tc>
          <w:tcPr>
            <w:tcW w:w="5473" w:type="dxa"/>
            <w:gridSpan w:val="6"/>
            <w:vAlign w:val="center"/>
          </w:tcPr>
          <w:p>
            <w:pPr>
              <w:spacing w:line="300" w:lineRule="exact"/>
              <w:jc w:val="center"/>
              <w:rPr>
                <w:rFonts w:hint="eastAsia" w:ascii="方正书宋_GBK" w:eastAsia="方正书宋_GBK"/>
                <w:b/>
              </w:rPr>
            </w:pPr>
            <w:r>
              <w:rPr>
                <w:rFonts w:hint="eastAsia" w:ascii="方正书宋_GBK" w:eastAsia="方正书宋_GBK"/>
                <w:b/>
              </w:rPr>
              <w:t>政府采购金额</w:t>
            </w:r>
            <w:r>
              <w:rPr>
                <w:rFonts w:hint="eastAsia" w:ascii="方正书宋_GBK" w:eastAsia="方正书宋_GBK"/>
                <w:b/>
                <w:lang w:eastAsia="zh-CN"/>
              </w:rPr>
              <w:t>（</w:t>
            </w:r>
            <w:r>
              <w:rPr>
                <w:rFonts w:hint="eastAsia" w:ascii="方正书宋_GBK" w:eastAsia="方正书宋_GBK"/>
                <w:b/>
              </w:rPr>
              <w:t>当年部门预算安排资金</w:t>
            </w:r>
            <w:r>
              <w:rPr>
                <w:rFonts w:hint="eastAsia" w:ascii="方正书宋_GBK" w:eastAsia="方正书宋_GBK"/>
                <w:b/>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401" w:type="dxa"/>
            <w:vAlign w:val="center"/>
          </w:tcPr>
          <w:p>
            <w:pPr>
              <w:spacing w:line="300" w:lineRule="exact"/>
              <w:jc w:val="center"/>
              <w:outlineLvl w:val="0"/>
              <w:rPr>
                <w:rFonts w:hint="eastAsia" w:eastAsia="宋体"/>
                <w:lang w:eastAsia="zh-CN"/>
              </w:rPr>
            </w:pPr>
            <w:r>
              <w:rPr>
                <w:rFonts w:hint="eastAsia" w:ascii="方正书宋_GBK" w:eastAsia="方正书宋_GBK"/>
                <w:b/>
                <w:lang w:eastAsia="zh-CN"/>
              </w:rPr>
              <w:t>项目名称</w:t>
            </w:r>
          </w:p>
        </w:tc>
        <w:tc>
          <w:tcPr>
            <w:tcW w:w="878" w:type="dxa"/>
            <w:vAlign w:val="center"/>
          </w:tcPr>
          <w:p>
            <w:pPr>
              <w:spacing w:line="300" w:lineRule="exact"/>
              <w:jc w:val="left"/>
              <w:outlineLvl w:val="0"/>
              <w:rPr>
                <w:rFonts w:hint="eastAsia" w:eastAsia="宋体"/>
                <w:lang w:eastAsia="zh-CN"/>
              </w:rPr>
            </w:pPr>
            <w:r>
              <w:rPr>
                <w:rFonts w:hint="eastAsia" w:ascii="方正书宋_GBK" w:eastAsia="方正书宋_GBK"/>
                <w:b/>
                <w:lang w:eastAsia="zh-CN"/>
              </w:rPr>
              <w:t>预算资金</w:t>
            </w:r>
          </w:p>
        </w:tc>
        <w:tc>
          <w:tcPr>
            <w:tcW w:w="1290" w:type="dxa"/>
            <w:vMerge w:val="continue"/>
            <w:vAlign w:val="center"/>
          </w:tcPr>
          <w:p>
            <w:pPr>
              <w:spacing w:line="300" w:lineRule="exact"/>
              <w:jc w:val="left"/>
              <w:outlineLvl w:val="0"/>
            </w:pPr>
          </w:p>
        </w:tc>
        <w:tc>
          <w:tcPr>
            <w:tcW w:w="1335" w:type="dxa"/>
            <w:vMerge w:val="continue"/>
            <w:vAlign w:val="center"/>
          </w:tcPr>
          <w:p>
            <w:pPr>
              <w:spacing w:line="300" w:lineRule="exact"/>
              <w:jc w:val="left"/>
              <w:outlineLvl w:val="0"/>
            </w:pPr>
          </w:p>
        </w:tc>
        <w:tc>
          <w:tcPr>
            <w:tcW w:w="714" w:type="dxa"/>
            <w:vMerge w:val="continue"/>
            <w:vAlign w:val="center"/>
          </w:tcPr>
          <w:p>
            <w:pPr>
              <w:spacing w:line="300" w:lineRule="exact"/>
              <w:jc w:val="left"/>
              <w:outlineLvl w:val="0"/>
            </w:pPr>
          </w:p>
        </w:tc>
        <w:tc>
          <w:tcPr>
            <w:tcW w:w="742" w:type="dxa"/>
            <w:vMerge w:val="continue"/>
            <w:vAlign w:val="center"/>
          </w:tcPr>
          <w:p>
            <w:pPr>
              <w:spacing w:line="300" w:lineRule="exact"/>
              <w:jc w:val="left"/>
              <w:outlineLvl w:val="0"/>
            </w:pPr>
          </w:p>
        </w:tc>
        <w:tc>
          <w:tcPr>
            <w:tcW w:w="859" w:type="dxa"/>
            <w:vMerge w:val="continue"/>
            <w:vAlign w:val="center"/>
          </w:tcPr>
          <w:p>
            <w:pPr>
              <w:spacing w:line="300" w:lineRule="exact"/>
              <w:jc w:val="left"/>
              <w:outlineLvl w:val="0"/>
            </w:pPr>
          </w:p>
        </w:tc>
        <w:tc>
          <w:tcPr>
            <w:tcW w:w="887" w:type="dxa"/>
            <w:vAlign w:val="center"/>
          </w:tcPr>
          <w:p>
            <w:pPr>
              <w:spacing w:line="300" w:lineRule="exact"/>
              <w:jc w:val="center"/>
              <w:outlineLvl w:val="0"/>
              <w:rPr>
                <w:rFonts w:hint="eastAsia" w:eastAsia="宋体"/>
                <w:lang w:eastAsia="zh-CN"/>
              </w:rPr>
            </w:pPr>
            <w:r>
              <w:rPr>
                <w:rFonts w:hint="eastAsia" w:ascii="方正书宋_GBK" w:eastAsia="方正书宋_GBK"/>
                <w:b/>
                <w:lang w:eastAsia="zh-CN"/>
              </w:rPr>
              <w:t>合计</w:t>
            </w:r>
          </w:p>
        </w:tc>
        <w:tc>
          <w:tcPr>
            <w:tcW w:w="916" w:type="dxa"/>
            <w:vAlign w:val="center"/>
          </w:tcPr>
          <w:p>
            <w:pPr>
              <w:spacing w:line="300" w:lineRule="exact"/>
              <w:jc w:val="center"/>
              <w:rPr>
                <w:rFonts w:ascii="方正书宋_GBK" w:hAnsi="Calibri" w:eastAsia="方正书宋_GBK" w:cs="黑体"/>
                <w:b/>
                <w:kern w:val="2"/>
                <w:sz w:val="21"/>
                <w:szCs w:val="22"/>
                <w:lang w:val="en-US" w:eastAsia="zh-CN" w:bidi="ar-SA"/>
              </w:rPr>
            </w:pPr>
            <w:r>
              <w:rPr>
                <w:rFonts w:hint="eastAsia" w:ascii="方正书宋_GBK" w:eastAsia="方正书宋_GBK"/>
                <w:b/>
              </w:rPr>
              <w:t>一般公共预算拨款</w:t>
            </w:r>
          </w:p>
        </w:tc>
        <w:tc>
          <w:tcPr>
            <w:tcW w:w="916" w:type="dxa"/>
            <w:vAlign w:val="center"/>
          </w:tcPr>
          <w:p>
            <w:pPr>
              <w:spacing w:line="300" w:lineRule="exact"/>
              <w:jc w:val="center"/>
              <w:rPr>
                <w:rFonts w:ascii="方正书宋_GBK" w:hAnsi="Calibri" w:eastAsia="方正书宋_GBK" w:cs="黑体"/>
                <w:b/>
                <w:kern w:val="2"/>
                <w:sz w:val="21"/>
                <w:szCs w:val="22"/>
                <w:lang w:val="en-US" w:eastAsia="zh-CN" w:bidi="ar-SA"/>
              </w:rPr>
            </w:pPr>
            <w:r>
              <w:rPr>
                <w:rFonts w:hint="eastAsia" w:ascii="方正书宋_GBK" w:eastAsia="方正书宋_GBK"/>
                <w:b/>
              </w:rPr>
              <w:t>基金预算拨款</w:t>
            </w:r>
          </w:p>
        </w:tc>
        <w:tc>
          <w:tcPr>
            <w:tcW w:w="916" w:type="dxa"/>
            <w:vAlign w:val="center"/>
          </w:tcPr>
          <w:p>
            <w:pPr>
              <w:spacing w:line="300" w:lineRule="exact"/>
              <w:jc w:val="center"/>
              <w:rPr>
                <w:rFonts w:ascii="方正书宋_GBK" w:hAnsi="Calibri" w:eastAsia="方正书宋_GBK" w:cs="黑体"/>
                <w:b/>
                <w:kern w:val="2"/>
                <w:sz w:val="21"/>
                <w:szCs w:val="22"/>
                <w:lang w:val="en-US" w:eastAsia="zh-CN" w:bidi="ar-SA"/>
              </w:rPr>
            </w:pPr>
            <w:r>
              <w:rPr>
                <w:rFonts w:hint="eastAsia" w:ascii="方正书宋_GBK" w:eastAsia="方正书宋_GBK" w:cs="黑体"/>
                <w:b/>
                <w:kern w:val="2"/>
                <w:sz w:val="21"/>
                <w:szCs w:val="22"/>
                <w:lang w:val="en-US" w:eastAsia="zh-CN" w:bidi="ar-SA"/>
              </w:rPr>
              <w:t>国有资本经营预算拨款</w:t>
            </w:r>
          </w:p>
        </w:tc>
        <w:tc>
          <w:tcPr>
            <w:tcW w:w="919" w:type="dxa"/>
            <w:vAlign w:val="center"/>
          </w:tcPr>
          <w:p>
            <w:pPr>
              <w:spacing w:line="300" w:lineRule="exact"/>
              <w:jc w:val="center"/>
              <w:rPr>
                <w:rFonts w:ascii="方正书宋_GBK" w:hAnsi="Calibri" w:eastAsia="方正书宋_GBK" w:cs="黑体"/>
                <w:b/>
                <w:kern w:val="2"/>
                <w:sz w:val="21"/>
                <w:szCs w:val="22"/>
                <w:lang w:val="en-US" w:eastAsia="zh-CN" w:bidi="ar-SA"/>
              </w:rPr>
            </w:pPr>
            <w:r>
              <w:rPr>
                <w:rFonts w:hint="eastAsia" w:ascii="方正书宋_GBK" w:eastAsia="方正书宋_GBK"/>
                <w:b/>
              </w:rPr>
              <w:t>财政专户核拨</w:t>
            </w:r>
          </w:p>
        </w:tc>
        <w:tc>
          <w:tcPr>
            <w:tcW w:w="919" w:type="dxa"/>
            <w:vAlign w:val="center"/>
          </w:tcPr>
          <w:p>
            <w:pPr>
              <w:spacing w:line="300" w:lineRule="exact"/>
              <w:jc w:val="center"/>
              <w:rPr>
                <w:rFonts w:ascii="方正书宋_GBK" w:eastAsia="方正书宋_GBK"/>
                <w:b/>
              </w:rPr>
            </w:pPr>
            <w:r>
              <w:rPr>
                <w:rFonts w:hint="eastAsia" w:ascii="方正书宋_GBK" w:eastAsia="方正书宋_GBK"/>
                <w:b/>
              </w:rPr>
              <w:t>其他来源收入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70" w:hRule="atLeast"/>
          <w:jc w:val="center"/>
        </w:trPr>
        <w:tc>
          <w:tcPr>
            <w:tcW w:w="2401" w:type="dxa"/>
            <w:vAlign w:val="center"/>
          </w:tcPr>
          <w:p>
            <w:pPr>
              <w:spacing w:line="300" w:lineRule="exact"/>
              <w:jc w:val="center"/>
              <w:rPr>
                <w:rFonts w:hint="eastAsia" w:ascii="方正书宋_GBK" w:eastAsia="方正书宋_GBK"/>
                <w:lang w:eastAsia="zh-CN"/>
              </w:rPr>
            </w:pPr>
            <w:r>
              <w:rPr>
                <w:rFonts w:hint="eastAsia" w:ascii="方正书宋_GBK" w:eastAsia="方正书宋_GBK"/>
                <w:lang w:eastAsia="zh-CN"/>
              </w:rPr>
              <w:t>承德市社会科学界联合会小计</w:t>
            </w:r>
          </w:p>
        </w:tc>
        <w:tc>
          <w:tcPr>
            <w:tcW w:w="878" w:type="dxa"/>
            <w:vAlign w:val="center"/>
          </w:tcPr>
          <w:p>
            <w:pPr>
              <w:spacing w:line="300" w:lineRule="exact"/>
              <w:jc w:val="right"/>
              <w:rPr>
                <w:rFonts w:hint="eastAsia" w:ascii="方正书宋_GBK" w:eastAsia="方正书宋_GBK"/>
                <w:lang w:val="en-US" w:eastAsia="zh-CN"/>
              </w:rPr>
            </w:pPr>
          </w:p>
        </w:tc>
        <w:tc>
          <w:tcPr>
            <w:tcW w:w="1290" w:type="dxa"/>
            <w:vAlign w:val="center"/>
          </w:tcPr>
          <w:p>
            <w:pPr>
              <w:spacing w:line="300" w:lineRule="exact"/>
              <w:jc w:val="left"/>
              <w:rPr>
                <w:rFonts w:ascii="方正书宋_GBK" w:eastAsia="方正书宋_GBK"/>
              </w:rPr>
            </w:pPr>
          </w:p>
        </w:tc>
        <w:tc>
          <w:tcPr>
            <w:tcW w:w="1335" w:type="dxa"/>
            <w:vAlign w:val="center"/>
          </w:tcPr>
          <w:p>
            <w:pPr>
              <w:spacing w:line="300" w:lineRule="exact"/>
              <w:jc w:val="left"/>
              <w:rPr>
                <w:rFonts w:ascii="方正书宋_GBK" w:eastAsia="方正书宋_GBK"/>
              </w:rPr>
            </w:pPr>
          </w:p>
        </w:tc>
        <w:tc>
          <w:tcPr>
            <w:tcW w:w="714" w:type="dxa"/>
            <w:vAlign w:val="center"/>
          </w:tcPr>
          <w:p>
            <w:pPr>
              <w:spacing w:line="300" w:lineRule="exact"/>
              <w:jc w:val="left"/>
              <w:rPr>
                <w:rFonts w:ascii="方正书宋_GBK" w:eastAsia="方正书宋_GBK"/>
              </w:rPr>
            </w:pPr>
          </w:p>
        </w:tc>
        <w:tc>
          <w:tcPr>
            <w:tcW w:w="742" w:type="dxa"/>
            <w:vAlign w:val="center"/>
          </w:tcPr>
          <w:p>
            <w:pPr>
              <w:spacing w:line="300" w:lineRule="exact"/>
              <w:jc w:val="right"/>
              <w:rPr>
                <w:rFonts w:ascii="方正书宋_GBK" w:eastAsia="方正书宋_GBK"/>
              </w:rPr>
            </w:pPr>
          </w:p>
        </w:tc>
        <w:tc>
          <w:tcPr>
            <w:tcW w:w="859" w:type="dxa"/>
            <w:vAlign w:val="center"/>
          </w:tcPr>
          <w:p>
            <w:pPr>
              <w:spacing w:line="300" w:lineRule="exact"/>
              <w:jc w:val="right"/>
              <w:rPr>
                <w:rFonts w:ascii="方正书宋_GBK" w:eastAsia="方正书宋_GBK"/>
              </w:rPr>
            </w:pPr>
          </w:p>
        </w:tc>
        <w:tc>
          <w:tcPr>
            <w:tcW w:w="887" w:type="dxa"/>
            <w:vAlign w:val="center"/>
          </w:tcPr>
          <w:p>
            <w:pPr>
              <w:spacing w:line="300" w:lineRule="exact"/>
              <w:jc w:val="right"/>
              <w:rPr>
                <w:rFonts w:hint="default" w:ascii="方正书宋_GBK" w:eastAsia="方正书宋_GBK"/>
                <w:lang w:val="en-US" w:eastAsia="zh-CN"/>
              </w:rPr>
            </w:pPr>
            <w:r>
              <w:rPr>
                <w:rFonts w:hint="eastAsia" w:ascii="方正书宋_GBK" w:eastAsia="方正书宋_GBK"/>
                <w:lang w:val="en-US" w:eastAsia="zh-CN"/>
              </w:rPr>
              <w:t>2.76</w:t>
            </w: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default" w:ascii="方正书宋_GBK" w:eastAsia="方正书宋_GBK"/>
                <w:lang w:val="en-US" w:eastAsia="zh-CN"/>
              </w:rPr>
            </w:pPr>
            <w:r>
              <w:rPr>
                <w:rFonts w:hint="eastAsia" w:ascii="方正书宋_GBK" w:eastAsia="方正书宋_GBK"/>
                <w:lang w:val="en-US" w:eastAsia="zh-CN"/>
              </w:rPr>
              <w:t>2.76</w:t>
            </w:r>
          </w:p>
        </w:tc>
        <w:tc>
          <w:tcPr>
            <w:tcW w:w="916" w:type="dxa"/>
            <w:vAlign w:val="center"/>
          </w:tcPr>
          <w:p>
            <w:pPr>
              <w:spacing w:line="300" w:lineRule="exact"/>
              <w:jc w:val="right"/>
              <w:rPr>
                <w:rFonts w:hint="eastAsia" w:ascii="方正书宋_GBK" w:eastAsia="方正书宋_GBK"/>
                <w:lang w:val="en-US" w:eastAsia="zh-CN"/>
              </w:rPr>
            </w:pPr>
          </w:p>
        </w:tc>
        <w:tc>
          <w:tcPr>
            <w:tcW w:w="916" w:type="dxa"/>
            <w:vAlign w:val="center"/>
          </w:tcPr>
          <w:p>
            <w:pPr>
              <w:spacing w:line="300" w:lineRule="exact"/>
              <w:jc w:val="right"/>
              <w:rPr>
                <w:rFonts w:ascii="方正书宋_GBK" w:eastAsia="方正书宋_GBK"/>
              </w:rPr>
            </w:pPr>
          </w:p>
        </w:tc>
        <w:tc>
          <w:tcPr>
            <w:tcW w:w="919" w:type="dxa"/>
            <w:vAlign w:val="center"/>
          </w:tcPr>
          <w:p>
            <w:pPr>
              <w:spacing w:line="300" w:lineRule="exact"/>
              <w:jc w:val="right"/>
              <w:rPr>
                <w:rFonts w:ascii="方正书宋_GBK" w:eastAsia="方正书宋_GBK"/>
              </w:rPr>
            </w:pPr>
          </w:p>
        </w:tc>
        <w:tc>
          <w:tcPr>
            <w:tcW w:w="919" w:type="dxa"/>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15" w:hRule="atLeast"/>
          <w:jc w:val="center"/>
        </w:trPr>
        <w:tc>
          <w:tcPr>
            <w:tcW w:w="2401"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lang w:eastAsia="zh-CN"/>
              </w:rPr>
            </w:pPr>
            <w:r>
              <w:rPr>
                <w:rFonts w:hint="eastAsia" w:ascii="方正书宋_GBK" w:eastAsia="方正书宋_GBK"/>
                <w:lang w:eastAsia="zh-CN"/>
              </w:rPr>
              <w:t>业务费</w:t>
            </w:r>
          </w:p>
        </w:tc>
        <w:tc>
          <w:tcPr>
            <w:tcW w:w="878"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default" w:ascii="方正书宋_GBK" w:eastAsia="方正书宋_GBK"/>
                <w:lang w:val="en-US" w:eastAsia="zh-CN"/>
              </w:rPr>
            </w:pPr>
            <w:r>
              <w:rPr>
                <w:rFonts w:hint="eastAsia" w:ascii="方正书宋_GBK" w:eastAsia="方正书宋_GBK"/>
                <w:lang w:val="en-US" w:eastAsia="zh-CN"/>
              </w:rPr>
              <w:t>10.00</w:t>
            </w:r>
          </w:p>
        </w:tc>
        <w:tc>
          <w:tcPr>
            <w:tcW w:w="1290"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lang w:eastAsia="zh-CN"/>
              </w:rPr>
            </w:pPr>
            <w:r>
              <w:rPr>
                <w:rFonts w:hint="eastAsia" w:ascii="方正书宋_GBK" w:eastAsia="方正书宋_GBK"/>
                <w:lang w:eastAsia="zh-CN"/>
              </w:rPr>
              <w:t>木制台、桌类</w:t>
            </w:r>
          </w:p>
        </w:tc>
        <w:tc>
          <w:tcPr>
            <w:tcW w:w="1335"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default" w:ascii="方正书宋_GBK" w:eastAsia="方正书宋_GBK"/>
                <w:lang w:val="en-US" w:eastAsia="zh-CN"/>
              </w:rPr>
            </w:pPr>
            <w:r>
              <w:rPr>
                <w:rFonts w:hint="eastAsia" w:ascii="方正书宋_GBK" w:eastAsia="方正书宋_GBK"/>
                <w:lang w:val="en-US" w:eastAsia="zh-CN"/>
              </w:rPr>
              <w:t>A060205</w:t>
            </w:r>
          </w:p>
        </w:tc>
        <w:tc>
          <w:tcPr>
            <w:tcW w:w="714"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lang w:val="en-US" w:eastAsia="zh-CN"/>
              </w:rPr>
            </w:pPr>
            <w:r>
              <w:rPr>
                <w:rFonts w:hint="eastAsia" w:ascii="方正书宋_GBK" w:eastAsia="方正书宋_GBK"/>
                <w:lang w:val="en-US" w:eastAsia="zh-CN"/>
              </w:rPr>
              <w:t>个</w:t>
            </w:r>
          </w:p>
        </w:tc>
        <w:tc>
          <w:tcPr>
            <w:tcW w:w="742"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default" w:ascii="方正书宋_GBK" w:eastAsia="方正书宋_GBK"/>
                <w:lang w:val="en-US" w:eastAsia="zh-CN"/>
              </w:rPr>
            </w:pPr>
            <w:r>
              <w:rPr>
                <w:rFonts w:hint="eastAsia" w:ascii="方正书宋_GBK" w:eastAsia="方正书宋_GBK"/>
                <w:lang w:val="en-US" w:eastAsia="zh-CN"/>
              </w:rPr>
              <w:t>2.00</w:t>
            </w:r>
          </w:p>
        </w:tc>
        <w:tc>
          <w:tcPr>
            <w:tcW w:w="85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default" w:ascii="方正书宋_GBK" w:eastAsia="方正书宋_GBK"/>
                <w:lang w:val="en-US" w:eastAsia="zh-CN"/>
              </w:rPr>
            </w:pPr>
            <w:r>
              <w:rPr>
                <w:rFonts w:hint="eastAsia" w:ascii="方正书宋_GBK" w:eastAsia="方正书宋_GBK"/>
                <w:lang w:val="en-US" w:eastAsia="zh-CN"/>
              </w:rPr>
              <w:t>0.15</w:t>
            </w:r>
          </w:p>
        </w:tc>
        <w:tc>
          <w:tcPr>
            <w:tcW w:w="887"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default" w:ascii="方正书宋_GBK" w:eastAsia="方正书宋_GBK"/>
                <w:lang w:val="en-US" w:eastAsia="zh-CN"/>
              </w:rPr>
            </w:pPr>
            <w:r>
              <w:rPr>
                <w:rFonts w:hint="eastAsia" w:ascii="方正书宋_GBK" w:eastAsia="方正书宋_GBK"/>
                <w:lang w:val="en-US" w:eastAsia="zh-CN"/>
              </w:rPr>
              <w:t>0.30</w:t>
            </w: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default" w:ascii="方正书宋_GBK" w:eastAsia="方正书宋_GBK"/>
                <w:lang w:val="en-US" w:eastAsia="zh-CN"/>
              </w:rPr>
            </w:pPr>
            <w:r>
              <w:rPr>
                <w:rFonts w:hint="eastAsia" w:ascii="方正书宋_GBK" w:eastAsia="方正书宋_GBK"/>
                <w:lang w:val="en-US" w:eastAsia="zh-CN"/>
              </w:rPr>
              <w:t>0.30</w:t>
            </w: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c>
          <w:tcPr>
            <w:tcW w:w="91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c>
          <w:tcPr>
            <w:tcW w:w="91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15" w:hRule="atLeast"/>
          <w:jc w:val="center"/>
        </w:trPr>
        <w:tc>
          <w:tcPr>
            <w:tcW w:w="2401"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ascii="方正书宋_GBK" w:eastAsia="方正书宋_GBK"/>
              </w:rPr>
            </w:pPr>
            <w:r>
              <w:rPr>
                <w:rFonts w:hint="eastAsia" w:ascii="方正书宋_GBK" w:eastAsia="方正书宋_GBK"/>
                <w:lang w:eastAsia="zh-CN"/>
              </w:rPr>
              <w:t>业务费</w:t>
            </w:r>
          </w:p>
        </w:tc>
        <w:tc>
          <w:tcPr>
            <w:tcW w:w="878"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10.00</w:t>
            </w:r>
          </w:p>
        </w:tc>
        <w:tc>
          <w:tcPr>
            <w:tcW w:w="1290"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lang w:eastAsia="zh-CN"/>
              </w:rPr>
            </w:pPr>
            <w:r>
              <w:rPr>
                <w:rFonts w:hint="eastAsia" w:ascii="方正书宋_GBK" w:eastAsia="方正书宋_GBK"/>
                <w:lang w:eastAsia="zh-CN"/>
              </w:rPr>
              <w:t>台式计算机</w:t>
            </w:r>
          </w:p>
        </w:tc>
        <w:tc>
          <w:tcPr>
            <w:tcW w:w="1335"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default" w:ascii="方正书宋_GBK" w:eastAsia="方正书宋_GBK"/>
                <w:lang w:val="en-US" w:eastAsia="zh-CN"/>
              </w:rPr>
            </w:pPr>
            <w:r>
              <w:rPr>
                <w:rFonts w:ascii="方正书宋_GBK" w:eastAsia="方正书宋_GBK"/>
              </w:rPr>
              <w:t>A020101</w:t>
            </w:r>
            <w:r>
              <w:rPr>
                <w:rFonts w:hint="eastAsia" w:ascii="方正书宋_GBK" w:eastAsia="方正书宋_GBK"/>
                <w:lang w:val="en-US" w:eastAsia="zh-CN"/>
              </w:rPr>
              <w:t>04</w:t>
            </w:r>
          </w:p>
        </w:tc>
        <w:tc>
          <w:tcPr>
            <w:tcW w:w="714"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lang w:val="en-US" w:eastAsia="zh-CN"/>
              </w:rPr>
            </w:pPr>
            <w:r>
              <w:rPr>
                <w:rFonts w:hint="eastAsia" w:ascii="方正书宋_GBK" w:eastAsia="方正书宋_GBK"/>
                <w:lang w:val="en-US" w:eastAsia="zh-CN"/>
              </w:rPr>
              <w:t>台</w:t>
            </w:r>
          </w:p>
        </w:tc>
        <w:tc>
          <w:tcPr>
            <w:tcW w:w="742"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default" w:ascii="方正书宋_GBK" w:eastAsia="方正书宋_GBK"/>
                <w:lang w:val="en-US" w:eastAsia="zh-CN"/>
              </w:rPr>
            </w:pPr>
            <w:r>
              <w:rPr>
                <w:rFonts w:hint="eastAsia" w:ascii="方正书宋_GBK" w:eastAsia="方正书宋_GBK"/>
                <w:lang w:val="en-US" w:eastAsia="zh-CN"/>
              </w:rPr>
              <w:t>2.00</w:t>
            </w:r>
          </w:p>
        </w:tc>
        <w:tc>
          <w:tcPr>
            <w:tcW w:w="85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0.48</w:t>
            </w:r>
          </w:p>
        </w:tc>
        <w:tc>
          <w:tcPr>
            <w:tcW w:w="887"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r>
              <w:rPr>
                <w:rFonts w:hint="eastAsia" w:ascii="方正书宋_GBK" w:eastAsia="方正书宋_GBK"/>
                <w:lang w:val="en-US" w:eastAsia="zh-CN"/>
              </w:rPr>
              <w:t>0.96</w:t>
            </w: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default" w:ascii="方正书宋_GBK" w:eastAsia="方正书宋_GBK"/>
                <w:lang w:val="en-US" w:eastAsia="zh-CN"/>
              </w:rPr>
            </w:pPr>
            <w:r>
              <w:rPr>
                <w:rFonts w:hint="eastAsia" w:ascii="方正书宋_GBK" w:eastAsia="方正书宋_GBK"/>
                <w:lang w:val="en-US" w:eastAsia="zh-CN"/>
              </w:rPr>
              <w:t>0.96</w:t>
            </w: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c>
          <w:tcPr>
            <w:tcW w:w="91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c>
          <w:tcPr>
            <w:tcW w:w="91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40" w:hRule="atLeast"/>
          <w:jc w:val="center"/>
        </w:trPr>
        <w:tc>
          <w:tcPr>
            <w:tcW w:w="2401"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rPr>
            </w:pPr>
            <w:r>
              <w:rPr>
                <w:rFonts w:hint="eastAsia" w:ascii="方正书宋_GBK" w:eastAsia="方正书宋_GBK"/>
                <w:lang w:eastAsia="zh-CN"/>
              </w:rPr>
              <w:t>业务费</w:t>
            </w:r>
          </w:p>
        </w:tc>
        <w:tc>
          <w:tcPr>
            <w:tcW w:w="878"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10.00</w:t>
            </w:r>
          </w:p>
        </w:tc>
        <w:tc>
          <w:tcPr>
            <w:tcW w:w="1290"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lang w:eastAsia="zh-CN"/>
              </w:rPr>
            </w:pPr>
            <w:r>
              <w:rPr>
                <w:rFonts w:hint="eastAsia" w:ascii="方正书宋_GBK" w:eastAsia="方正书宋_GBK"/>
                <w:lang w:eastAsia="zh-CN"/>
              </w:rPr>
              <w:t>多功能一体机</w:t>
            </w:r>
          </w:p>
        </w:tc>
        <w:tc>
          <w:tcPr>
            <w:tcW w:w="1335"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default" w:ascii="方正书宋_GBK" w:eastAsia="方正书宋_GBK"/>
                <w:lang w:val="en-US" w:eastAsia="zh-CN"/>
              </w:rPr>
            </w:pPr>
            <w:r>
              <w:rPr>
                <w:rFonts w:ascii="方正书宋_GBK" w:eastAsia="方正书宋_GBK"/>
              </w:rPr>
              <w:t>A</w:t>
            </w:r>
            <w:r>
              <w:rPr>
                <w:rFonts w:hint="eastAsia" w:ascii="方正书宋_GBK" w:eastAsia="方正书宋_GBK"/>
                <w:lang w:val="en-US" w:eastAsia="zh-CN"/>
              </w:rPr>
              <w:t>020204</w:t>
            </w:r>
          </w:p>
        </w:tc>
        <w:tc>
          <w:tcPr>
            <w:tcW w:w="714"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lang w:val="en-US" w:eastAsia="zh-CN"/>
              </w:rPr>
            </w:pPr>
            <w:r>
              <w:rPr>
                <w:rFonts w:hint="eastAsia" w:ascii="方正书宋_GBK" w:eastAsia="方正书宋_GBK"/>
                <w:lang w:val="en-US" w:eastAsia="zh-CN"/>
              </w:rPr>
              <w:t>台</w:t>
            </w:r>
          </w:p>
        </w:tc>
        <w:tc>
          <w:tcPr>
            <w:tcW w:w="742"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default" w:ascii="方正书宋_GBK" w:eastAsia="方正书宋_GBK"/>
                <w:lang w:val="en-US" w:eastAsia="zh-CN"/>
              </w:rPr>
            </w:pPr>
            <w:r>
              <w:rPr>
                <w:rFonts w:hint="eastAsia" w:ascii="方正书宋_GBK" w:eastAsia="方正书宋_GBK"/>
                <w:lang w:val="en-US" w:eastAsia="zh-CN"/>
              </w:rPr>
              <w:t>2.00</w:t>
            </w:r>
          </w:p>
        </w:tc>
        <w:tc>
          <w:tcPr>
            <w:tcW w:w="85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0.25</w:t>
            </w:r>
          </w:p>
        </w:tc>
        <w:tc>
          <w:tcPr>
            <w:tcW w:w="887"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0.50</w:t>
            </w: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0.50</w:t>
            </w: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c>
          <w:tcPr>
            <w:tcW w:w="91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c>
          <w:tcPr>
            <w:tcW w:w="91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55" w:hRule="atLeast"/>
          <w:jc w:val="center"/>
        </w:trPr>
        <w:tc>
          <w:tcPr>
            <w:tcW w:w="2401"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rPr>
            </w:pPr>
            <w:r>
              <w:rPr>
                <w:rFonts w:hint="eastAsia" w:ascii="方正书宋_GBK" w:eastAsia="方正书宋_GBK"/>
                <w:lang w:eastAsia="zh-CN"/>
              </w:rPr>
              <w:t>业务费</w:t>
            </w:r>
          </w:p>
        </w:tc>
        <w:tc>
          <w:tcPr>
            <w:tcW w:w="878"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10.00</w:t>
            </w:r>
          </w:p>
        </w:tc>
        <w:tc>
          <w:tcPr>
            <w:tcW w:w="1290"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lang w:eastAsia="zh-CN"/>
              </w:rPr>
            </w:pPr>
            <w:r>
              <w:rPr>
                <w:rFonts w:hint="eastAsia" w:ascii="方正书宋_GBK" w:eastAsia="方正书宋_GBK"/>
                <w:lang w:eastAsia="zh-CN"/>
              </w:rPr>
              <w:t>木质柜类</w:t>
            </w:r>
          </w:p>
        </w:tc>
        <w:tc>
          <w:tcPr>
            <w:tcW w:w="1335"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default" w:ascii="方正书宋_GBK" w:eastAsia="方正书宋_GBK"/>
                <w:lang w:val="en-US" w:eastAsia="zh-CN"/>
              </w:rPr>
            </w:pPr>
            <w:r>
              <w:rPr>
                <w:rFonts w:hint="eastAsia" w:ascii="方正书宋_GBK" w:eastAsia="方正书宋_GBK"/>
                <w:lang w:val="en-US" w:eastAsia="zh-CN"/>
              </w:rPr>
              <w:t>A060501</w:t>
            </w:r>
          </w:p>
        </w:tc>
        <w:tc>
          <w:tcPr>
            <w:tcW w:w="714"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lang w:eastAsia="zh-CN"/>
              </w:rPr>
            </w:pPr>
            <w:r>
              <w:rPr>
                <w:rFonts w:hint="eastAsia" w:ascii="方正书宋_GBK" w:eastAsia="方正书宋_GBK"/>
                <w:lang w:eastAsia="zh-CN"/>
              </w:rPr>
              <w:t>组</w:t>
            </w:r>
          </w:p>
        </w:tc>
        <w:tc>
          <w:tcPr>
            <w:tcW w:w="742"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default" w:ascii="方正书宋_GBK" w:eastAsia="方正书宋_GBK"/>
                <w:lang w:val="en-US" w:eastAsia="zh-CN"/>
              </w:rPr>
            </w:pPr>
            <w:r>
              <w:rPr>
                <w:rFonts w:hint="eastAsia" w:ascii="方正书宋_GBK" w:eastAsia="方正书宋_GBK"/>
                <w:lang w:val="en-US" w:eastAsia="zh-CN"/>
              </w:rPr>
              <w:t>3.00</w:t>
            </w:r>
          </w:p>
        </w:tc>
        <w:tc>
          <w:tcPr>
            <w:tcW w:w="85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0.20</w:t>
            </w:r>
          </w:p>
        </w:tc>
        <w:tc>
          <w:tcPr>
            <w:tcW w:w="887"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0.60</w:t>
            </w: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default" w:ascii="方正书宋_GBK" w:eastAsia="方正书宋_GBK"/>
                <w:lang w:val="en-US" w:eastAsia="zh-CN"/>
              </w:rPr>
            </w:pPr>
            <w:r>
              <w:rPr>
                <w:rFonts w:hint="eastAsia" w:ascii="方正书宋_GBK" w:eastAsia="方正书宋_GBK"/>
                <w:lang w:val="en-US" w:eastAsia="zh-CN"/>
              </w:rPr>
              <w:t>0.60</w:t>
            </w: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c>
          <w:tcPr>
            <w:tcW w:w="91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c>
          <w:tcPr>
            <w:tcW w:w="91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90" w:hRule="atLeast"/>
          <w:jc w:val="center"/>
        </w:trPr>
        <w:tc>
          <w:tcPr>
            <w:tcW w:w="2401"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lang w:eastAsia="zh-CN"/>
              </w:rPr>
            </w:pPr>
            <w:r>
              <w:rPr>
                <w:rFonts w:hint="eastAsia" w:ascii="方正书宋_GBK" w:eastAsia="方正书宋_GBK"/>
                <w:lang w:eastAsia="zh-CN"/>
              </w:rPr>
              <w:t>业务费</w:t>
            </w:r>
          </w:p>
        </w:tc>
        <w:tc>
          <w:tcPr>
            <w:tcW w:w="878"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10.00</w:t>
            </w:r>
          </w:p>
        </w:tc>
        <w:tc>
          <w:tcPr>
            <w:tcW w:w="1290"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lang w:eastAsia="zh-CN"/>
              </w:rPr>
            </w:pPr>
            <w:r>
              <w:rPr>
                <w:rFonts w:hint="eastAsia" w:ascii="方正书宋_GBK" w:eastAsia="方正书宋_GBK"/>
                <w:lang w:eastAsia="zh-CN"/>
              </w:rPr>
              <w:t>木骨架为主的椅凳类</w:t>
            </w:r>
          </w:p>
        </w:tc>
        <w:tc>
          <w:tcPr>
            <w:tcW w:w="1335"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default" w:ascii="方正书宋_GBK" w:eastAsia="方正书宋_GBK"/>
                <w:lang w:val="en-US" w:eastAsia="zh-CN"/>
              </w:rPr>
            </w:pPr>
            <w:r>
              <w:rPr>
                <w:rFonts w:ascii="方正书宋_GBK" w:eastAsia="方正书宋_GBK"/>
              </w:rPr>
              <w:t>A0</w:t>
            </w:r>
            <w:r>
              <w:rPr>
                <w:rFonts w:hint="eastAsia" w:ascii="方正书宋_GBK" w:eastAsia="方正书宋_GBK"/>
                <w:lang w:val="en-US" w:eastAsia="zh-CN"/>
              </w:rPr>
              <w:t>60302</w:t>
            </w:r>
          </w:p>
        </w:tc>
        <w:tc>
          <w:tcPr>
            <w:tcW w:w="714"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lang w:eastAsia="zh-CN"/>
              </w:rPr>
            </w:pPr>
            <w:r>
              <w:rPr>
                <w:rFonts w:hint="eastAsia" w:ascii="方正书宋_GBK" w:eastAsia="方正书宋_GBK"/>
                <w:lang w:eastAsia="zh-CN"/>
              </w:rPr>
              <w:t>个</w:t>
            </w:r>
          </w:p>
        </w:tc>
        <w:tc>
          <w:tcPr>
            <w:tcW w:w="742"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default" w:ascii="方正书宋_GBK" w:eastAsia="方正书宋_GBK"/>
                <w:lang w:val="en-US" w:eastAsia="zh-CN"/>
              </w:rPr>
            </w:pPr>
            <w:r>
              <w:rPr>
                <w:rFonts w:hint="eastAsia" w:ascii="方正书宋_GBK" w:eastAsia="方正书宋_GBK"/>
                <w:lang w:val="en-US" w:eastAsia="zh-CN"/>
              </w:rPr>
              <w:t>4.00</w:t>
            </w:r>
          </w:p>
        </w:tc>
        <w:tc>
          <w:tcPr>
            <w:tcW w:w="85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default" w:ascii="方正书宋_GBK" w:eastAsia="方正书宋_GBK"/>
                <w:lang w:val="en-US" w:eastAsia="zh-CN"/>
              </w:rPr>
            </w:pPr>
            <w:r>
              <w:rPr>
                <w:rFonts w:hint="eastAsia" w:ascii="方正书宋_GBK" w:eastAsia="方正书宋_GBK"/>
                <w:lang w:val="en-US" w:eastAsia="zh-CN"/>
              </w:rPr>
              <w:t>0.10</w:t>
            </w:r>
          </w:p>
        </w:tc>
        <w:tc>
          <w:tcPr>
            <w:tcW w:w="887"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default" w:ascii="方正书宋_GBK" w:eastAsia="方正书宋_GBK"/>
                <w:lang w:val="en-US" w:eastAsia="zh-CN"/>
              </w:rPr>
            </w:pPr>
            <w:r>
              <w:rPr>
                <w:rFonts w:hint="eastAsia" w:ascii="方正书宋_GBK" w:eastAsia="方正书宋_GBK"/>
                <w:lang w:val="en-US" w:eastAsia="zh-CN"/>
              </w:rPr>
              <w:t>0.40</w:t>
            </w: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default" w:ascii="方正书宋_GBK" w:eastAsia="方正书宋_GBK"/>
                <w:lang w:val="en-US" w:eastAsia="zh-CN"/>
              </w:rPr>
            </w:pPr>
            <w:r>
              <w:rPr>
                <w:rFonts w:hint="eastAsia" w:ascii="方正书宋_GBK" w:eastAsia="方正书宋_GBK"/>
                <w:lang w:val="en-US" w:eastAsia="zh-CN"/>
              </w:rPr>
              <w:t>0.40</w:t>
            </w: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c>
          <w:tcPr>
            <w:tcW w:w="91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c>
          <w:tcPr>
            <w:tcW w:w="91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r>
      <w:bookmarkEnd w:id="5"/>
    </w:tbl>
    <w:p>
      <w:pPr>
        <w:autoSpaceDE w:val="0"/>
        <w:autoSpaceDN w:val="0"/>
        <w:adjustRightInd w:val="0"/>
        <w:ind w:left="198" w:firstLine="640" w:firstLineChars="200"/>
        <w:jc w:val="left"/>
        <w:rPr>
          <w:rFonts w:hint="eastAsia" w:ascii="黑体" w:hAnsi="黑体" w:eastAsia="黑体" w:cs="Times New Roman"/>
          <w:sz w:val="32"/>
          <w:szCs w:val="32"/>
        </w:rPr>
      </w:pPr>
    </w:p>
    <w:p>
      <w:pPr>
        <w:autoSpaceDE w:val="0"/>
        <w:autoSpaceDN w:val="0"/>
        <w:adjustRightInd w:val="0"/>
        <w:ind w:left="198" w:firstLine="640" w:firstLineChars="200"/>
        <w:jc w:val="left"/>
        <w:rPr>
          <w:rFonts w:ascii="黑体" w:hAnsi="黑体" w:eastAsia="黑体" w:cs="Times New Roman"/>
          <w:sz w:val="32"/>
          <w:szCs w:val="32"/>
        </w:rPr>
      </w:pPr>
      <w:r>
        <w:rPr>
          <w:rFonts w:hint="eastAsia" w:ascii="黑体" w:hAnsi="黑体" w:eastAsia="黑体" w:cs="Times New Roman"/>
          <w:sz w:val="32"/>
          <w:szCs w:val="32"/>
        </w:rPr>
        <w:t>七、国有资产信息</w:t>
      </w:r>
    </w:p>
    <w:p>
      <w:pPr>
        <w:ind w:firstLine="640"/>
        <w:rPr>
          <w:rFonts w:ascii="仿宋_GB2312" w:hAnsi="黑体" w:eastAsia="仿宋_GB2312" w:cs="Times New Roman"/>
          <w:sz w:val="32"/>
          <w:szCs w:val="32"/>
        </w:rPr>
      </w:pPr>
      <w:r>
        <w:rPr>
          <w:rFonts w:hint="eastAsia" w:ascii="仿宋_GB2312" w:hAnsi="黑体" w:eastAsia="仿宋_GB2312" w:cs="Times New Roman"/>
          <w:sz w:val="32"/>
          <w:szCs w:val="32"/>
        </w:rPr>
        <w:t>上年末固定资产金额为</w:t>
      </w:r>
      <w:r>
        <w:rPr>
          <w:rFonts w:hint="eastAsia" w:ascii="仿宋_GB2312" w:hAnsi="黑体" w:eastAsia="仿宋_GB2312" w:cs="Times New Roman"/>
          <w:color w:val="000000" w:themeColor="text1"/>
          <w:sz w:val="32"/>
          <w:szCs w:val="32"/>
          <w:lang w:val="en-US" w:eastAsia="zh-CN"/>
          <w14:textFill>
            <w14:solidFill>
              <w14:schemeClr w14:val="tx1"/>
            </w14:solidFill>
          </w14:textFill>
        </w:rPr>
        <w:t>36.11</w:t>
      </w:r>
      <w:r>
        <w:rPr>
          <w:rFonts w:hint="eastAsia" w:ascii="仿宋_GB2312" w:hAnsi="黑体" w:eastAsia="仿宋_GB2312" w:cs="Times New Roman"/>
          <w:sz w:val="32"/>
          <w:szCs w:val="32"/>
        </w:rPr>
        <w:t>万元，主要包括通用设备和家具用具装具动植物（详见下表）。本年度拟购置固定资产主要为计算机、打印机、</w:t>
      </w:r>
      <w:r>
        <w:rPr>
          <w:rFonts w:hint="eastAsia" w:ascii="仿宋_GB2312" w:hAnsi="黑体" w:eastAsia="仿宋_GB2312" w:cs="Times New Roman"/>
          <w:sz w:val="32"/>
          <w:szCs w:val="32"/>
          <w:lang w:eastAsia="zh-CN"/>
        </w:rPr>
        <w:t>文件柜</w:t>
      </w:r>
      <w:r>
        <w:rPr>
          <w:rFonts w:hint="eastAsia" w:ascii="仿宋_GB2312" w:hAnsi="黑体" w:eastAsia="仿宋_GB2312" w:cs="Times New Roman"/>
          <w:sz w:val="32"/>
          <w:szCs w:val="32"/>
        </w:rPr>
        <w:t>等，共计</w:t>
      </w:r>
      <w:r>
        <w:rPr>
          <w:rFonts w:hint="eastAsia" w:ascii="仿宋_GB2312" w:hAnsi="黑体" w:eastAsia="仿宋_GB2312" w:cs="Times New Roman"/>
          <w:color w:val="auto"/>
          <w:sz w:val="32"/>
          <w:szCs w:val="32"/>
          <w:lang w:val="en-US" w:eastAsia="zh-CN"/>
        </w:rPr>
        <w:t>2.76</w:t>
      </w:r>
      <w:r>
        <w:rPr>
          <w:rFonts w:hint="eastAsia" w:ascii="仿宋_GB2312" w:hAnsi="黑体" w:eastAsia="仿宋_GB2312" w:cs="Times New Roman"/>
          <w:sz w:val="32"/>
          <w:szCs w:val="32"/>
        </w:rPr>
        <w:t>万元，均是20万元以下的设备。本年预算拟购置的固定资产为</w:t>
      </w:r>
      <w:r>
        <w:rPr>
          <w:rFonts w:hint="eastAsia" w:ascii="仿宋_GB2312" w:hAnsi="黑体" w:eastAsia="仿宋_GB2312" w:cs="Times New Roman"/>
          <w:color w:val="auto"/>
          <w:sz w:val="32"/>
          <w:szCs w:val="32"/>
        </w:rPr>
        <w:t>其他固定资产</w:t>
      </w:r>
      <w:r>
        <w:rPr>
          <w:rFonts w:hint="eastAsia" w:ascii="仿宋_GB2312" w:hAnsi="黑体" w:eastAsia="仿宋_GB2312" w:cs="Times New Roman"/>
          <w:sz w:val="32"/>
          <w:szCs w:val="32"/>
        </w:rPr>
        <w:t>，共计</w:t>
      </w:r>
      <w:r>
        <w:rPr>
          <w:rFonts w:hint="eastAsia" w:ascii="仿宋_GB2312" w:hAnsi="黑体" w:eastAsia="仿宋_GB2312" w:cs="Times New Roman"/>
          <w:color w:val="auto"/>
          <w:sz w:val="32"/>
          <w:szCs w:val="32"/>
          <w:lang w:val="en-US" w:eastAsia="zh-CN"/>
        </w:rPr>
        <w:t>2.76</w:t>
      </w:r>
      <w:r>
        <w:rPr>
          <w:rFonts w:hint="eastAsia" w:ascii="仿宋_GB2312" w:hAnsi="黑体" w:eastAsia="仿宋_GB2312" w:cs="Times New Roman"/>
          <w:sz w:val="32"/>
          <w:szCs w:val="32"/>
        </w:rPr>
        <w:t>万元,已列入政府采购预算表。</w:t>
      </w:r>
    </w:p>
    <w:tbl>
      <w:tblPr>
        <w:tblStyle w:val="7"/>
        <w:tblW w:w="13482" w:type="dxa"/>
        <w:tblInd w:w="93" w:type="dxa"/>
        <w:tblLayout w:type="fixed"/>
        <w:tblCellMar>
          <w:top w:w="0" w:type="dxa"/>
          <w:left w:w="108" w:type="dxa"/>
          <w:bottom w:w="0" w:type="dxa"/>
          <w:right w:w="108" w:type="dxa"/>
        </w:tblCellMar>
      </w:tblPr>
      <w:tblGrid>
        <w:gridCol w:w="5224"/>
        <w:gridCol w:w="3155"/>
        <w:gridCol w:w="5103"/>
      </w:tblGrid>
      <w:tr>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承德市社科联固定资产占用情况表</w:t>
            </w:r>
          </w:p>
        </w:tc>
      </w:tr>
      <w:tr>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vAlign w:val="center"/>
          </w:tcPr>
          <w:p>
            <w:pPr>
              <w:widowControl/>
              <w:jc w:val="left"/>
              <w:rPr>
                <w:rFonts w:ascii="Times New Roman" w:hAnsi="Times New Roman" w:eastAsia="仿宋" w:cs="Times New Roman"/>
                <w:kern w:val="0"/>
                <w:sz w:val="22"/>
              </w:rPr>
            </w:pPr>
            <w:r>
              <w:rPr>
                <w:rFonts w:ascii="Times New Roman" w:hAnsi="Times New Roman" w:eastAsia="仿宋" w:cs="Times New Roman"/>
                <w:kern w:val="0"/>
                <w:sz w:val="22"/>
              </w:rPr>
              <w:t>编制部门：</w:t>
            </w:r>
            <w:r>
              <w:rPr>
                <w:rFonts w:hint="eastAsia" w:ascii="Times New Roman" w:hAnsi="Times New Roman" w:eastAsia="仿宋" w:cs="Times New Roman"/>
                <w:kern w:val="0"/>
                <w:sz w:val="22"/>
              </w:rPr>
              <w:t>承德市社会科学界联合会</w:t>
            </w:r>
          </w:p>
        </w:tc>
        <w:tc>
          <w:tcPr>
            <w:tcW w:w="5103" w:type="dxa"/>
            <w:tcBorders>
              <w:top w:val="nil"/>
              <w:left w:val="nil"/>
              <w:bottom w:val="nil"/>
              <w:right w:val="nil"/>
            </w:tcBorders>
            <w:vAlign w:val="center"/>
          </w:tcPr>
          <w:p>
            <w:pPr>
              <w:widowControl/>
              <w:ind w:firstLine="1320" w:firstLineChars="600"/>
              <w:jc w:val="left"/>
              <w:rPr>
                <w:rFonts w:ascii="Times New Roman" w:hAnsi="Times New Roman" w:eastAsia="仿宋" w:cs="Times New Roman"/>
                <w:kern w:val="0"/>
                <w:sz w:val="22"/>
              </w:rPr>
            </w:pPr>
            <w:r>
              <w:rPr>
                <w:rFonts w:ascii="Times New Roman" w:hAnsi="Times New Roman" w:eastAsia="仿宋" w:cs="Times New Roman"/>
                <w:kern w:val="0"/>
                <w:sz w:val="22"/>
              </w:rPr>
              <w:t>截止时间：201</w:t>
            </w:r>
            <w:r>
              <w:rPr>
                <w:rFonts w:hint="eastAsia" w:ascii="Times New Roman" w:hAnsi="Times New Roman" w:eastAsia="仿宋" w:cs="Times New Roman"/>
                <w:kern w:val="0"/>
                <w:sz w:val="22"/>
                <w:lang w:val="en-US" w:eastAsia="zh-CN"/>
              </w:rPr>
              <w:t>9</w:t>
            </w:r>
            <w:r>
              <w:rPr>
                <w:rFonts w:ascii="Times New Roman" w:hAnsi="Times New Roman" w:eastAsia="仿宋" w:cs="Times New Roman"/>
                <w:kern w:val="0"/>
                <w:sz w:val="22"/>
              </w:rPr>
              <w:t>年12月31日</w:t>
            </w:r>
          </w:p>
        </w:tc>
      </w:tr>
      <w:tr>
        <w:tblPrEx>
          <w:tblCellMar>
            <w:top w:w="0" w:type="dxa"/>
            <w:left w:w="108" w:type="dxa"/>
            <w:bottom w:w="0" w:type="dxa"/>
            <w:right w:w="108" w:type="dxa"/>
          </w:tblCellMar>
        </w:tblPrEx>
        <w:trPr>
          <w:trHeight w:val="645" w:hRule="atLeast"/>
        </w:trPr>
        <w:tc>
          <w:tcPr>
            <w:tcW w:w="52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2"/>
              </w:rPr>
            </w:pPr>
            <w:r>
              <w:rPr>
                <w:rFonts w:hint="eastAsia" w:ascii="宋体" w:hAnsi="宋体" w:cs="宋体"/>
                <w:b/>
                <w:bCs/>
                <w:kern w:val="0"/>
                <w:sz w:val="22"/>
              </w:rPr>
              <w:t>项目</w:t>
            </w:r>
          </w:p>
        </w:tc>
        <w:tc>
          <w:tcPr>
            <w:tcW w:w="315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rPr>
            </w:pPr>
            <w:r>
              <w:rPr>
                <w:rFonts w:hint="eastAsia" w:ascii="宋体" w:hAnsi="宋体" w:cs="宋体"/>
                <w:b/>
                <w:bCs/>
                <w:kern w:val="0"/>
                <w:sz w:val="22"/>
              </w:rPr>
              <w:t>数量</w:t>
            </w:r>
          </w:p>
        </w:tc>
        <w:tc>
          <w:tcPr>
            <w:tcW w:w="510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rPr>
            </w:pPr>
            <w:r>
              <w:rPr>
                <w:rFonts w:hint="eastAsia" w:ascii="宋体" w:hAnsi="宋体" w:cs="宋体"/>
                <w:b/>
                <w:bCs/>
                <w:kern w:val="0"/>
                <w:sz w:val="22"/>
              </w:rPr>
              <w:t>价值（金额单位：万元）</w:t>
            </w:r>
          </w:p>
        </w:tc>
      </w:tr>
      <w:tr>
        <w:tblPrEx>
          <w:tblCellMar>
            <w:top w:w="0" w:type="dxa"/>
            <w:left w:w="108" w:type="dxa"/>
            <w:bottom w:w="0" w:type="dxa"/>
            <w:right w:w="108" w:type="dxa"/>
          </w:tblCellMar>
        </w:tblPrEx>
        <w:trPr>
          <w:trHeight w:val="525" w:hRule="atLeast"/>
        </w:trPr>
        <w:tc>
          <w:tcPr>
            <w:tcW w:w="5224" w:type="dxa"/>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eastAsia="仿宋" w:cs="Times New Roman"/>
                <w:kern w:val="0"/>
                <w:sz w:val="22"/>
              </w:rPr>
            </w:pPr>
            <w:r>
              <w:rPr>
                <w:rFonts w:ascii="Times New Roman" w:hAnsi="Times New Roman" w:eastAsia="仿宋" w:cs="Times New Roman"/>
                <w:kern w:val="0"/>
                <w:sz w:val="22"/>
              </w:rPr>
              <w:t>资产总额</w:t>
            </w:r>
          </w:p>
        </w:tc>
        <w:tc>
          <w:tcPr>
            <w:tcW w:w="3155"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 w:cs="Times New Roman"/>
                <w:color w:val="000000" w:themeColor="text1"/>
                <w:kern w:val="0"/>
                <w:sz w:val="22"/>
                <w:lang w:val="en-US" w:eastAsia="zh-CN"/>
                <w14:textFill>
                  <w14:solidFill>
                    <w14:schemeClr w14:val="tx1"/>
                  </w14:solidFill>
                </w14:textFill>
              </w:rPr>
            </w:pPr>
            <w:r>
              <w:rPr>
                <w:rFonts w:hint="eastAsia" w:ascii="Times New Roman" w:hAnsi="Times New Roman" w:eastAsia="仿宋" w:cs="Times New Roman"/>
                <w:color w:val="000000" w:themeColor="text1"/>
                <w:kern w:val="0"/>
                <w:sz w:val="22"/>
                <w:lang w:val="en-US" w:eastAsia="zh-CN"/>
                <w14:textFill>
                  <w14:solidFill>
                    <w14:schemeClr w14:val="tx1"/>
                  </w14:solidFill>
                </w14:textFill>
              </w:rPr>
              <w:t>77</w:t>
            </w:r>
          </w:p>
        </w:tc>
        <w:tc>
          <w:tcPr>
            <w:tcW w:w="5103"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 w:cs="Times New Roman"/>
                <w:color w:val="000000" w:themeColor="text1"/>
                <w:kern w:val="0"/>
                <w:sz w:val="22"/>
                <w:lang w:val="en-US" w:eastAsia="zh-CN"/>
                <w14:textFill>
                  <w14:solidFill>
                    <w14:schemeClr w14:val="tx1"/>
                  </w14:solidFill>
                </w14:textFill>
              </w:rPr>
            </w:pPr>
            <w:r>
              <w:rPr>
                <w:rFonts w:hint="eastAsia" w:ascii="Times New Roman" w:hAnsi="Times New Roman" w:eastAsia="仿宋" w:cs="Times New Roman"/>
                <w:color w:val="000000" w:themeColor="text1"/>
                <w:kern w:val="0"/>
                <w:sz w:val="22"/>
                <w:lang w:val="en-US" w:eastAsia="zh-CN"/>
                <w14:textFill>
                  <w14:solidFill>
                    <w14:schemeClr w14:val="tx1"/>
                  </w14:solidFill>
                </w14:textFill>
              </w:rPr>
              <w:t>36.11</w:t>
            </w:r>
          </w:p>
        </w:tc>
      </w:tr>
      <w:tr>
        <w:tblPrEx>
          <w:tblCellMar>
            <w:top w:w="0" w:type="dxa"/>
            <w:left w:w="108" w:type="dxa"/>
            <w:bottom w:w="0" w:type="dxa"/>
            <w:right w:w="108" w:type="dxa"/>
          </w:tblCellMar>
        </w:tblPrEx>
        <w:trPr>
          <w:trHeight w:val="585" w:hRule="atLeast"/>
        </w:trPr>
        <w:tc>
          <w:tcPr>
            <w:tcW w:w="522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 w:cs="Times New Roman"/>
                <w:kern w:val="0"/>
                <w:sz w:val="22"/>
              </w:rPr>
            </w:pPr>
            <w:r>
              <w:rPr>
                <w:rFonts w:ascii="Times New Roman" w:hAnsi="Times New Roman" w:eastAsia="仿宋" w:cs="Times New Roman"/>
                <w:kern w:val="0"/>
                <w:sz w:val="22"/>
              </w:rPr>
              <w:t>1、房屋（平方米）</w:t>
            </w:r>
          </w:p>
        </w:tc>
        <w:tc>
          <w:tcPr>
            <w:tcW w:w="3155" w:type="dxa"/>
            <w:tcBorders>
              <w:top w:val="nil"/>
              <w:left w:val="nil"/>
              <w:bottom w:val="single" w:color="auto" w:sz="4" w:space="0"/>
              <w:right w:val="single" w:color="auto" w:sz="4" w:space="0"/>
            </w:tcBorders>
            <w:vAlign w:val="center"/>
          </w:tcPr>
          <w:p>
            <w:pPr>
              <w:widowControl/>
              <w:jc w:val="center"/>
              <w:rPr>
                <w:rFonts w:ascii="Times New Roman" w:hAnsi="Times New Roman" w:eastAsia="仿宋" w:cs="Times New Roman"/>
                <w:color w:val="000000" w:themeColor="text1"/>
                <w:kern w:val="0"/>
                <w:sz w:val="22"/>
                <w14:textFill>
                  <w14:solidFill>
                    <w14:schemeClr w14:val="tx1"/>
                  </w14:solidFill>
                </w14:textFill>
              </w:rPr>
            </w:pPr>
            <w:r>
              <w:rPr>
                <w:rFonts w:hint="eastAsia" w:ascii="Times New Roman" w:hAnsi="Times New Roman" w:eastAsia="仿宋" w:cs="Times New Roman"/>
                <w:color w:val="000000" w:themeColor="text1"/>
                <w:kern w:val="0"/>
                <w:sz w:val="22"/>
                <w14:textFill>
                  <w14:solidFill>
                    <w14:schemeClr w14:val="tx1"/>
                  </w14:solidFill>
                </w14:textFill>
              </w:rPr>
              <w:t>0</w:t>
            </w:r>
          </w:p>
        </w:tc>
        <w:tc>
          <w:tcPr>
            <w:tcW w:w="5103" w:type="dxa"/>
            <w:tcBorders>
              <w:top w:val="nil"/>
              <w:left w:val="nil"/>
              <w:bottom w:val="single" w:color="auto" w:sz="4" w:space="0"/>
              <w:right w:val="single" w:color="auto" w:sz="4" w:space="0"/>
            </w:tcBorders>
            <w:vAlign w:val="center"/>
          </w:tcPr>
          <w:p>
            <w:pPr>
              <w:widowControl/>
              <w:jc w:val="center"/>
              <w:rPr>
                <w:rFonts w:ascii="Times New Roman" w:hAnsi="Times New Roman" w:eastAsia="仿宋" w:cs="Times New Roman"/>
                <w:color w:val="000000" w:themeColor="text1"/>
                <w:kern w:val="0"/>
                <w:sz w:val="22"/>
                <w14:textFill>
                  <w14:solidFill>
                    <w14:schemeClr w14:val="tx1"/>
                  </w14:solidFill>
                </w14:textFill>
              </w:rPr>
            </w:pPr>
            <w:r>
              <w:rPr>
                <w:rFonts w:hint="eastAsia" w:ascii="Times New Roman" w:hAnsi="Times New Roman" w:eastAsia="仿宋" w:cs="Times New Roman"/>
                <w:color w:val="000000" w:themeColor="text1"/>
                <w:kern w:val="0"/>
                <w:sz w:val="22"/>
                <w14:textFill>
                  <w14:solidFill>
                    <w14:schemeClr w14:val="tx1"/>
                  </w14:solidFill>
                </w14:textFill>
              </w:rPr>
              <w:t>0</w:t>
            </w:r>
          </w:p>
        </w:tc>
      </w:tr>
      <w:tr>
        <w:tblPrEx>
          <w:tblCellMar>
            <w:top w:w="0" w:type="dxa"/>
            <w:left w:w="108" w:type="dxa"/>
            <w:bottom w:w="0" w:type="dxa"/>
            <w:right w:w="108" w:type="dxa"/>
          </w:tblCellMar>
        </w:tblPrEx>
        <w:trPr>
          <w:trHeight w:val="540" w:hRule="atLeast"/>
        </w:trPr>
        <w:tc>
          <w:tcPr>
            <w:tcW w:w="522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 w:cs="Times New Roman"/>
                <w:kern w:val="0"/>
                <w:sz w:val="22"/>
              </w:rPr>
            </w:pPr>
            <w:r>
              <w:rPr>
                <w:rFonts w:ascii="Times New Roman" w:hAnsi="Times New Roman" w:eastAsia="仿宋" w:cs="Times New Roman"/>
                <w:kern w:val="0"/>
                <w:sz w:val="22"/>
              </w:rPr>
              <w:t>其中：办公用房（平方米）</w:t>
            </w:r>
          </w:p>
        </w:tc>
        <w:tc>
          <w:tcPr>
            <w:tcW w:w="3155" w:type="dxa"/>
            <w:tcBorders>
              <w:top w:val="nil"/>
              <w:left w:val="nil"/>
              <w:bottom w:val="single" w:color="auto" w:sz="4" w:space="0"/>
              <w:right w:val="single" w:color="auto" w:sz="4" w:space="0"/>
            </w:tcBorders>
            <w:vAlign w:val="center"/>
          </w:tcPr>
          <w:p>
            <w:pPr>
              <w:widowControl/>
              <w:jc w:val="center"/>
              <w:rPr>
                <w:rFonts w:ascii="Times New Roman" w:hAnsi="Times New Roman" w:eastAsia="仿宋" w:cs="Times New Roman"/>
                <w:color w:val="000000" w:themeColor="text1"/>
                <w:kern w:val="0"/>
                <w:sz w:val="22"/>
                <w14:textFill>
                  <w14:solidFill>
                    <w14:schemeClr w14:val="tx1"/>
                  </w14:solidFill>
                </w14:textFill>
              </w:rPr>
            </w:pPr>
            <w:r>
              <w:rPr>
                <w:rFonts w:hint="eastAsia" w:ascii="Times New Roman" w:hAnsi="Times New Roman" w:eastAsia="仿宋" w:cs="Times New Roman"/>
                <w:color w:val="000000" w:themeColor="text1"/>
                <w:kern w:val="0"/>
                <w:sz w:val="22"/>
                <w14:textFill>
                  <w14:solidFill>
                    <w14:schemeClr w14:val="tx1"/>
                  </w14:solidFill>
                </w14:textFill>
              </w:rPr>
              <w:t>0</w:t>
            </w:r>
          </w:p>
        </w:tc>
        <w:tc>
          <w:tcPr>
            <w:tcW w:w="5103" w:type="dxa"/>
            <w:tcBorders>
              <w:top w:val="nil"/>
              <w:left w:val="nil"/>
              <w:bottom w:val="single" w:color="auto" w:sz="4" w:space="0"/>
              <w:right w:val="single" w:color="auto" w:sz="4" w:space="0"/>
            </w:tcBorders>
            <w:vAlign w:val="center"/>
          </w:tcPr>
          <w:p>
            <w:pPr>
              <w:widowControl/>
              <w:jc w:val="center"/>
              <w:rPr>
                <w:rFonts w:ascii="Times New Roman" w:hAnsi="Times New Roman" w:eastAsia="仿宋" w:cs="Times New Roman"/>
                <w:color w:val="000000" w:themeColor="text1"/>
                <w:kern w:val="0"/>
                <w:sz w:val="22"/>
                <w14:textFill>
                  <w14:solidFill>
                    <w14:schemeClr w14:val="tx1"/>
                  </w14:solidFill>
                </w14:textFill>
              </w:rPr>
            </w:pPr>
            <w:r>
              <w:rPr>
                <w:rFonts w:hint="eastAsia" w:ascii="Times New Roman" w:hAnsi="Times New Roman" w:eastAsia="仿宋" w:cs="Times New Roman"/>
                <w:color w:val="000000" w:themeColor="text1"/>
                <w:kern w:val="0"/>
                <w:sz w:val="22"/>
                <w14:textFill>
                  <w14:solidFill>
                    <w14:schemeClr w14:val="tx1"/>
                  </w14:solidFill>
                </w14:textFill>
              </w:rPr>
              <w:t>0</w:t>
            </w:r>
          </w:p>
        </w:tc>
      </w:tr>
      <w:tr>
        <w:tblPrEx>
          <w:tblCellMar>
            <w:top w:w="0" w:type="dxa"/>
            <w:left w:w="108" w:type="dxa"/>
            <w:bottom w:w="0" w:type="dxa"/>
            <w:right w:w="108" w:type="dxa"/>
          </w:tblCellMar>
        </w:tblPrEx>
        <w:trPr>
          <w:trHeight w:val="510" w:hRule="atLeast"/>
        </w:trPr>
        <w:tc>
          <w:tcPr>
            <w:tcW w:w="522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 w:cs="Times New Roman"/>
                <w:kern w:val="0"/>
                <w:sz w:val="22"/>
              </w:rPr>
            </w:pPr>
            <w:r>
              <w:rPr>
                <w:rFonts w:ascii="Times New Roman" w:hAnsi="Times New Roman" w:eastAsia="仿宋" w:cs="Times New Roman"/>
                <w:kern w:val="0"/>
                <w:sz w:val="22"/>
              </w:rPr>
              <w:t>2、车辆（台、辆）</w:t>
            </w:r>
          </w:p>
        </w:tc>
        <w:tc>
          <w:tcPr>
            <w:tcW w:w="3155" w:type="dxa"/>
            <w:tcBorders>
              <w:top w:val="nil"/>
              <w:left w:val="nil"/>
              <w:bottom w:val="single" w:color="auto" w:sz="4" w:space="0"/>
              <w:right w:val="single" w:color="auto" w:sz="4" w:space="0"/>
            </w:tcBorders>
            <w:vAlign w:val="center"/>
          </w:tcPr>
          <w:p>
            <w:pPr>
              <w:widowControl/>
              <w:jc w:val="center"/>
              <w:rPr>
                <w:rFonts w:ascii="Times New Roman" w:hAnsi="Times New Roman" w:eastAsia="仿宋" w:cs="Times New Roman"/>
                <w:color w:val="000000" w:themeColor="text1"/>
                <w:kern w:val="0"/>
                <w:sz w:val="22"/>
                <w14:textFill>
                  <w14:solidFill>
                    <w14:schemeClr w14:val="tx1"/>
                  </w14:solidFill>
                </w14:textFill>
              </w:rPr>
            </w:pPr>
            <w:r>
              <w:rPr>
                <w:rFonts w:hint="eastAsia" w:ascii="Times New Roman" w:hAnsi="Times New Roman" w:eastAsia="仿宋" w:cs="Times New Roman"/>
                <w:color w:val="000000" w:themeColor="text1"/>
                <w:kern w:val="0"/>
                <w:sz w:val="22"/>
                <w14:textFill>
                  <w14:solidFill>
                    <w14:schemeClr w14:val="tx1"/>
                  </w14:solidFill>
                </w14:textFill>
              </w:rPr>
              <w:t>1</w:t>
            </w:r>
          </w:p>
        </w:tc>
        <w:tc>
          <w:tcPr>
            <w:tcW w:w="5103" w:type="dxa"/>
            <w:tcBorders>
              <w:top w:val="nil"/>
              <w:left w:val="nil"/>
              <w:bottom w:val="single" w:color="auto" w:sz="4" w:space="0"/>
              <w:right w:val="single" w:color="auto" w:sz="4" w:space="0"/>
            </w:tcBorders>
            <w:vAlign w:val="center"/>
          </w:tcPr>
          <w:p>
            <w:pPr>
              <w:widowControl/>
              <w:jc w:val="center"/>
              <w:rPr>
                <w:rFonts w:ascii="Times New Roman" w:hAnsi="Times New Roman" w:eastAsia="仿宋" w:cs="Times New Roman"/>
                <w:color w:val="000000" w:themeColor="text1"/>
                <w:kern w:val="0"/>
                <w:sz w:val="22"/>
                <w14:textFill>
                  <w14:solidFill>
                    <w14:schemeClr w14:val="tx1"/>
                  </w14:solidFill>
                </w14:textFill>
              </w:rPr>
            </w:pPr>
            <w:r>
              <w:rPr>
                <w:rFonts w:hint="eastAsia" w:ascii="Times New Roman" w:hAnsi="Times New Roman" w:eastAsia="仿宋" w:cs="Times New Roman"/>
                <w:color w:val="000000" w:themeColor="text1"/>
                <w:kern w:val="0"/>
                <w:sz w:val="22"/>
                <w14:textFill>
                  <w14:solidFill>
                    <w14:schemeClr w14:val="tx1"/>
                  </w14:solidFill>
                </w14:textFill>
              </w:rPr>
              <w:t>21.47</w:t>
            </w:r>
          </w:p>
        </w:tc>
      </w:tr>
      <w:tr>
        <w:tblPrEx>
          <w:tblCellMar>
            <w:top w:w="0" w:type="dxa"/>
            <w:left w:w="108" w:type="dxa"/>
            <w:bottom w:w="0" w:type="dxa"/>
            <w:right w:w="108" w:type="dxa"/>
          </w:tblCellMar>
        </w:tblPrEx>
        <w:trPr>
          <w:trHeight w:val="540" w:hRule="atLeast"/>
        </w:trPr>
        <w:tc>
          <w:tcPr>
            <w:tcW w:w="522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 w:cs="Times New Roman"/>
                <w:kern w:val="0"/>
                <w:sz w:val="22"/>
              </w:rPr>
            </w:pPr>
            <w:r>
              <w:rPr>
                <w:rFonts w:ascii="Times New Roman" w:hAnsi="Times New Roman" w:eastAsia="仿宋" w:cs="Times New Roman"/>
                <w:kern w:val="0"/>
                <w:sz w:val="22"/>
              </w:rPr>
              <w:t>3、单价在20万元以上设备</w:t>
            </w:r>
          </w:p>
        </w:tc>
        <w:tc>
          <w:tcPr>
            <w:tcW w:w="3155" w:type="dxa"/>
            <w:tcBorders>
              <w:top w:val="nil"/>
              <w:left w:val="nil"/>
              <w:bottom w:val="single" w:color="auto" w:sz="4" w:space="0"/>
              <w:right w:val="single" w:color="auto" w:sz="4" w:space="0"/>
            </w:tcBorders>
            <w:vAlign w:val="center"/>
          </w:tcPr>
          <w:p>
            <w:pPr>
              <w:widowControl/>
              <w:jc w:val="center"/>
              <w:rPr>
                <w:rFonts w:ascii="Times New Roman" w:hAnsi="Times New Roman" w:eastAsia="仿宋" w:cs="Times New Roman"/>
                <w:color w:val="000000" w:themeColor="text1"/>
                <w:kern w:val="0"/>
                <w:sz w:val="22"/>
                <w14:textFill>
                  <w14:solidFill>
                    <w14:schemeClr w14:val="tx1"/>
                  </w14:solidFill>
                </w14:textFill>
              </w:rPr>
            </w:pPr>
            <w:r>
              <w:rPr>
                <w:rFonts w:ascii="Times New Roman" w:hAnsi="Times New Roman" w:eastAsia="仿宋" w:cs="Times New Roman"/>
                <w:color w:val="000000" w:themeColor="text1"/>
                <w:kern w:val="0"/>
                <w:sz w:val="22"/>
                <w14:textFill>
                  <w14:solidFill>
                    <w14:schemeClr w14:val="tx1"/>
                  </w14:solidFill>
                </w14:textFill>
              </w:rPr>
              <w:t>——</w:t>
            </w:r>
          </w:p>
        </w:tc>
        <w:tc>
          <w:tcPr>
            <w:tcW w:w="5103" w:type="dxa"/>
            <w:tcBorders>
              <w:top w:val="nil"/>
              <w:left w:val="nil"/>
              <w:bottom w:val="single" w:color="auto" w:sz="4" w:space="0"/>
              <w:right w:val="single" w:color="auto" w:sz="4" w:space="0"/>
            </w:tcBorders>
            <w:vAlign w:val="center"/>
          </w:tcPr>
          <w:p>
            <w:pPr>
              <w:widowControl/>
              <w:jc w:val="center"/>
              <w:rPr>
                <w:rFonts w:ascii="Times New Roman" w:hAnsi="Times New Roman" w:eastAsia="仿宋" w:cs="Times New Roman"/>
                <w:color w:val="000000" w:themeColor="text1"/>
                <w:kern w:val="0"/>
                <w:sz w:val="22"/>
                <w14:textFill>
                  <w14:solidFill>
                    <w14:schemeClr w14:val="tx1"/>
                  </w14:solidFill>
                </w14:textFill>
              </w:rPr>
            </w:pPr>
            <w:r>
              <w:rPr>
                <w:rFonts w:hint="eastAsia" w:ascii="Times New Roman" w:hAnsi="Times New Roman" w:eastAsia="仿宋" w:cs="Times New Roman"/>
                <w:color w:val="000000" w:themeColor="text1"/>
                <w:kern w:val="0"/>
                <w:sz w:val="22"/>
                <w14:textFill>
                  <w14:solidFill>
                    <w14:schemeClr w14:val="tx1"/>
                  </w14:solidFill>
                </w14:textFill>
              </w:rPr>
              <w:t>0</w:t>
            </w:r>
          </w:p>
        </w:tc>
      </w:tr>
      <w:tr>
        <w:tblPrEx>
          <w:tblCellMar>
            <w:top w:w="0" w:type="dxa"/>
            <w:left w:w="108" w:type="dxa"/>
            <w:bottom w:w="0" w:type="dxa"/>
            <w:right w:w="108" w:type="dxa"/>
          </w:tblCellMar>
        </w:tblPrEx>
        <w:trPr>
          <w:trHeight w:val="535" w:hRule="atLeast"/>
        </w:trPr>
        <w:tc>
          <w:tcPr>
            <w:tcW w:w="522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 w:cs="Times New Roman"/>
                <w:kern w:val="0"/>
                <w:sz w:val="22"/>
              </w:rPr>
            </w:pPr>
            <w:r>
              <w:rPr>
                <w:rFonts w:ascii="Times New Roman" w:hAnsi="Times New Roman" w:eastAsia="仿宋" w:cs="Times New Roman"/>
                <w:kern w:val="0"/>
                <w:sz w:val="22"/>
              </w:rPr>
              <w:t>4、其他固定资产</w:t>
            </w:r>
          </w:p>
        </w:tc>
        <w:tc>
          <w:tcPr>
            <w:tcW w:w="3155"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 w:cs="Times New Roman"/>
                <w:color w:val="000000" w:themeColor="text1"/>
                <w:kern w:val="0"/>
                <w:sz w:val="22"/>
                <w:lang w:val="en-US" w:eastAsia="zh-CN"/>
                <w14:textFill>
                  <w14:solidFill>
                    <w14:schemeClr w14:val="tx1"/>
                  </w14:solidFill>
                </w14:textFill>
              </w:rPr>
            </w:pPr>
            <w:r>
              <w:rPr>
                <w:rFonts w:hint="eastAsia" w:ascii="Times New Roman" w:hAnsi="Times New Roman" w:eastAsia="仿宋" w:cs="Times New Roman"/>
                <w:color w:val="000000" w:themeColor="text1"/>
                <w:kern w:val="0"/>
                <w:sz w:val="22"/>
                <w:lang w:val="en-US" w:eastAsia="zh-CN"/>
                <w14:textFill>
                  <w14:solidFill>
                    <w14:schemeClr w14:val="tx1"/>
                  </w14:solidFill>
                </w14:textFill>
              </w:rPr>
              <w:t>77</w:t>
            </w:r>
          </w:p>
        </w:tc>
        <w:tc>
          <w:tcPr>
            <w:tcW w:w="5103"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 w:cs="Times New Roman"/>
                <w:color w:val="000000" w:themeColor="text1"/>
                <w:kern w:val="0"/>
                <w:sz w:val="22"/>
                <w:lang w:val="en-US" w:eastAsia="zh-CN"/>
                <w14:textFill>
                  <w14:solidFill>
                    <w14:schemeClr w14:val="tx1"/>
                  </w14:solidFill>
                </w14:textFill>
              </w:rPr>
            </w:pPr>
            <w:r>
              <w:rPr>
                <w:rFonts w:hint="eastAsia" w:ascii="Times New Roman" w:hAnsi="Times New Roman" w:eastAsia="仿宋" w:cs="Times New Roman"/>
                <w:color w:val="000000" w:themeColor="text1"/>
                <w:kern w:val="0"/>
                <w:sz w:val="22"/>
                <w:lang w:val="en-US" w:eastAsia="zh-CN"/>
                <w14:textFill>
                  <w14:solidFill>
                    <w14:schemeClr w14:val="tx1"/>
                  </w14:solidFill>
                </w14:textFill>
              </w:rPr>
              <w:t>14.64</w:t>
            </w:r>
          </w:p>
        </w:tc>
      </w:tr>
    </w:tbl>
    <w:p>
      <w:pPr>
        <w:numPr>
          <w:ilvl w:val="0"/>
          <w:numId w:val="2"/>
        </w:numPr>
        <w:autoSpaceDE w:val="0"/>
        <w:autoSpaceDN w:val="0"/>
        <w:adjustRightInd w:val="0"/>
        <w:ind w:left="198" w:firstLine="640" w:firstLineChars="200"/>
        <w:jc w:val="left"/>
        <w:rPr>
          <w:rFonts w:ascii="黑体" w:hAnsi="黑体" w:eastAsia="黑体" w:cs="Times New Roman"/>
          <w:sz w:val="32"/>
          <w:szCs w:val="32"/>
        </w:rPr>
      </w:pPr>
      <w:r>
        <w:rPr>
          <w:rFonts w:hint="eastAsia" w:ascii="黑体" w:hAnsi="黑体" w:eastAsia="黑体" w:cs="Times New Roman"/>
          <w:sz w:val="32"/>
          <w:szCs w:val="32"/>
        </w:rPr>
        <w:t>名词解释</w:t>
      </w:r>
    </w:p>
    <w:p>
      <w:pPr>
        <w:autoSpaceDE w:val="0"/>
        <w:autoSpaceDN w:val="0"/>
        <w:adjustRightInd w:val="0"/>
        <w:ind w:left="420" w:leftChars="200"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1、一般</w:t>
      </w:r>
      <w:r>
        <w:rPr>
          <w:rFonts w:hint="eastAsia" w:ascii="仿宋_GB2312" w:hAnsi="仿宋_GB2312" w:eastAsia="仿宋_GB2312" w:cs="仿宋_GB2312"/>
          <w:sz w:val="32"/>
          <w:szCs w:val="32"/>
          <w:lang w:eastAsia="zh-CN"/>
        </w:rPr>
        <w:t>公共</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eastAsia="zh-CN"/>
        </w:rPr>
        <w:t>拨款</w:t>
      </w:r>
      <w:r>
        <w:rPr>
          <w:rFonts w:hint="eastAsia" w:ascii="仿宋_GB2312" w:hAnsi="仿宋_GB2312" w:eastAsia="仿宋_GB2312" w:cs="仿宋_GB2312"/>
          <w:sz w:val="32"/>
          <w:szCs w:val="32"/>
        </w:rPr>
        <w:t>收入：市级财政当年拨付的资金。</w:t>
      </w:r>
    </w:p>
    <w:p>
      <w:pPr>
        <w:autoSpaceDE w:val="0"/>
        <w:autoSpaceDN w:val="0"/>
        <w:adjustRightInd w:val="0"/>
        <w:ind w:left="420" w:leftChars="200"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2、基本支出：为保障机构正常运转，完成日常工作任务，而发生的人员支出和公用支出。</w:t>
      </w:r>
    </w:p>
    <w:p>
      <w:pPr>
        <w:autoSpaceDE w:val="0"/>
        <w:autoSpaceDN w:val="0"/>
        <w:adjustRightInd w:val="0"/>
        <w:ind w:left="420" w:leftChars="200"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3、项目支出：是指在基本支出之外，为完成特定行政任务和事业发展目标，而发生的支出。</w:t>
      </w:r>
    </w:p>
    <w:p>
      <w:pPr>
        <w:autoSpaceDE w:val="0"/>
        <w:autoSpaceDN w:val="0"/>
        <w:adjustRightInd w:val="0"/>
        <w:ind w:left="420" w:leftChars="20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机关运行费：是指为保证行政单位（包括参照公务员管理的事业单位）运行，用于购买货物和服务的各项资金。主要包括：办公费、印刷费，水费、电费、邮电费、福利费、日常维修费、办公取暖费、办公物业服务费、公务车运行维护费等。</w:t>
      </w:r>
    </w:p>
    <w:p>
      <w:pPr>
        <w:autoSpaceDE w:val="0"/>
        <w:autoSpaceDN w:val="0"/>
        <w:adjustRightInd w:val="0"/>
        <w:ind w:left="420" w:leftChars="200"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5、“三公”经费：指使用一般公共预算财政拨款安排的因公出国(境)费、公务用车购置及运行维护费和公务接待费。其中，因公出国(境)费用反映单位公务出国(境)的国际旅费、国外城市间交通费、住宿费、伙食费、培训费、公杂费等支出；公务用车购置及运行维护费反映单位公务用车车辆购置支出(含车辆购置税)及租用费、燃料费、维修费、过桥过路费、保险费、安全奖励费用等支出；公务接待费反映单位按规定开支的各类公务接待(含外宾接待)费用。</w:t>
      </w:r>
    </w:p>
    <w:p>
      <w:pPr>
        <w:autoSpaceDE w:val="0"/>
        <w:autoSpaceDN w:val="0"/>
        <w:adjustRightInd w:val="0"/>
        <w:ind w:left="420" w:leftChars="200" w:firstLine="643" w:firstLineChars="200"/>
        <w:jc w:val="left"/>
        <w:rPr>
          <w:rFonts w:ascii="宋体-方正超大字符集" w:hAnsi="宋体-方正超大字符集" w:eastAsia="宋体-方正超大字符集" w:cs="宋体-方正超大字符集"/>
          <w:b/>
          <w:bCs/>
          <w:sz w:val="32"/>
          <w:szCs w:val="32"/>
        </w:rPr>
      </w:pPr>
      <w:r>
        <w:rPr>
          <w:rFonts w:hint="eastAsia" w:ascii="宋体-方正超大字符集" w:hAnsi="宋体-方正超大字符集" w:eastAsia="宋体-方正超大字符集" w:cs="宋体-方正超大字符集"/>
          <w:b/>
          <w:bCs/>
          <w:sz w:val="32"/>
          <w:szCs w:val="32"/>
        </w:rPr>
        <w:t>九、其他需要说明的事项</w:t>
      </w:r>
    </w:p>
    <w:p>
      <w:pPr>
        <w:autoSpaceDE w:val="0"/>
        <w:autoSpaceDN w:val="0"/>
        <w:adjustRightInd w:val="0"/>
        <w:ind w:left="420" w:leftChars="200"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我部门无其他需要说明的事项</w:t>
      </w:r>
    </w:p>
    <w:p>
      <w:pPr>
        <w:autoSpaceDE w:val="0"/>
        <w:autoSpaceDN w:val="0"/>
        <w:adjustRightInd w:val="0"/>
        <w:ind w:left="420" w:leftChars="200" w:firstLine="643" w:firstLineChars="200"/>
        <w:jc w:val="left"/>
        <w:rPr>
          <w:rFonts w:hint="eastAsia" w:ascii="宋体-方正超大字符集" w:hAnsi="宋体-方正超大字符集" w:eastAsia="宋体-方正超大字符集" w:cs="宋体-方正超大字符集"/>
          <w:b/>
          <w:bCs/>
          <w:sz w:val="32"/>
          <w:szCs w:val="32"/>
          <w:lang w:val="en-US" w:eastAsia="zh-CN"/>
        </w:rPr>
      </w:pPr>
      <w:r>
        <w:rPr>
          <w:rFonts w:hint="eastAsia" w:ascii="宋体-方正超大字符集" w:hAnsi="宋体-方正超大字符集" w:eastAsia="宋体-方正超大字符集" w:cs="宋体-方正超大字符集"/>
          <w:b/>
          <w:bCs/>
          <w:sz w:val="32"/>
          <w:szCs w:val="32"/>
          <w:lang w:eastAsia="zh-CN"/>
        </w:rPr>
        <w:t>十、本年度预算批复日期及文号</w:t>
      </w:r>
    </w:p>
    <w:p>
      <w:pPr>
        <w:autoSpaceDE w:val="0"/>
        <w:autoSpaceDN w:val="0"/>
        <w:adjustRightInd w:val="0"/>
        <w:ind w:left="420" w:leftChars="200"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本年度预算批复日期为</w:t>
      </w:r>
      <w:r>
        <w:rPr>
          <w:rFonts w:hint="eastAsia" w:ascii="仿宋_GB2312" w:hAnsi="仿宋_GB2312" w:eastAsia="仿宋_GB2312" w:cs="仿宋_GB2312"/>
          <w:sz w:val="32"/>
          <w:szCs w:val="32"/>
          <w:lang w:val="en-US" w:eastAsia="zh-CN"/>
        </w:rPr>
        <w:t>2020年2月5日，批复文件号为承财预[2020]10号。</w:t>
      </w:r>
    </w:p>
    <w:p>
      <w:pPr>
        <w:numPr>
          <w:ilvl w:val="0"/>
          <w:numId w:val="0"/>
        </w:numPr>
        <w:autoSpaceDE w:val="0"/>
        <w:autoSpaceDN w:val="0"/>
        <w:adjustRightInd w:val="0"/>
        <w:ind w:leftChars="200"/>
        <w:jc w:val="left"/>
        <w:rPr>
          <w:rFonts w:hint="eastAsia" w:ascii="仿宋_GB2312" w:hAnsi="仿宋_GB2312" w:eastAsia="仿宋_GB2312" w:cs="仿宋_GB2312"/>
          <w:sz w:val="32"/>
          <w:szCs w:val="32"/>
          <w:lang w:val="en-US" w:eastAsia="zh-CN"/>
        </w:rPr>
      </w:pPr>
    </w:p>
    <w:sectPr>
      <w:footerReference r:id="rId3" w:type="default"/>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altName w:val="微软雅黑"/>
    <w:panose1 w:val="00000000000000000000"/>
    <w:charset w:val="86"/>
    <w:family w:val="script"/>
    <w:pitch w:val="default"/>
    <w:sig w:usb0="00000000" w:usb1="00000000" w:usb2="00000010" w:usb3="00000000" w:csb0="00040000" w:csb1="00000000"/>
  </w:font>
  <w:font w:name="宋体-方正超大字符集">
    <w:altName w:val="宋体"/>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3686155"/>
      <w:docPartObj>
        <w:docPartGallery w:val="autotext"/>
      </w:docPartObj>
    </w:sdtPr>
    <w:sdtContent>
      <w:p>
        <w:pPr>
          <w:pStyle w:val="2"/>
          <w:jc w:val="center"/>
        </w:pPr>
        <w:r>
          <w:fldChar w:fldCharType="begin"/>
        </w:r>
        <w:r>
          <w:instrText xml:space="preserve"> PAGE   \* MERGEFORMAT </w:instrText>
        </w:r>
        <w:r>
          <w:fldChar w:fldCharType="separate"/>
        </w:r>
        <w:r>
          <w:rPr>
            <w:lang w:val="zh-CN"/>
          </w:rPr>
          <w:t>11</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818F2D"/>
    <w:multiLevelType w:val="singleLevel"/>
    <w:tmpl w:val="58818F2D"/>
    <w:lvl w:ilvl="0" w:tentative="0">
      <w:start w:val="2"/>
      <w:numFmt w:val="decimal"/>
      <w:suff w:val="nothing"/>
      <w:lvlText w:val="%1、"/>
      <w:lvlJc w:val="left"/>
    </w:lvl>
  </w:abstractNum>
  <w:abstractNum w:abstractNumId="1">
    <w:nsid w:val="5881B3F2"/>
    <w:multiLevelType w:val="singleLevel"/>
    <w:tmpl w:val="5881B3F2"/>
    <w:lvl w:ilvl="0" w:tentative="0">
      <w:start w:val="8"/>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032"/>
    <w:rsid w:val="00003A3F"/>
    <w:rsid w:val="00020D8D"/>
    <w:rsid w:val="00023BFF"/>
    <w:rsid w:val="00037AF6"/>
    <w:rsid w:val="00042D28"/>
    <w:rsid w:val="00067604"/>
    <w:rsid w:val="00075D5F"/>
    <w:rsid w:val="00087621"/>
    <w:rsid w:val="000B3E8D"/>
    <w:rsid w:val="000B6E4E"/>
    <w:rsid w:val="000C3A19"/>
    <w:rsid w:val="000C7B48"/>
    <w:rsid w:val="000F14A0"/>
    <w:rsid w:val="001245BB"/>
    <w:rsid w:val="0016530E"/>
    <w:rsid w:val="001F2DD7"/>
    <w:rsid w:val="00241FD4"/>
    <w:rsid w:val="00251B12"/>
    <w:rsid w:val="00262373"/>
    <w:rsid w:val="0029372B"/>
    <w:rsid w:val="00296113"/>
    <w:rsid w:val="002F3E58"/>
    <w:rsid w:val="0030542C"/>
    <w:rsid w:val="00311B7A"/>
    <w:rsid w:val="00314C7B"/>
    <w:rsid w:val="00374F4E"/>
    <w:rsid w:val="00446BE9"/>
    <w:rsid w:val="00451871"/>
    <w:rsid w:val="00472923"/>
    <w:rsid w:val="00496BE1"/>
    <w:rsid w:val="004D39FC"/>
    <w:rsid w:val="004E3066"/>
    <w:rsid w:val="004E74CD"/>
    <w:rsid w:val="00573562"/>
    <w:rsid w:val="00614A29"/>
    <w:rsid w:val="006601FB"/>
    <w:rsid w:val="00677D04"/>
    <w:rsid w:val="006A17A0"/>
    <w:rsid w:val="006A575C"/>
    <w:rsid w:val="006D6ADD"/>
    <w:rsid w:val="006E3FDA"/>
    <w:rsid w:val="00735D72"/>
    <w:rsid w:val="0075393C"/>
    <w:rsid w:val="00776C08"/>
    <w:rsid w:val="007E1DA8"/>
    <w:rsid w:val="007F6C26"/>
    <w:rsid w:val="008334AE"/>
    <w:rsid w:val="00836FED"/>
    <w:rsid w:val="00845CD2"/>
    <w:rsid w:val="00852B0D"/>
    <w:rsid w:val="00862028"/>
    <w:rsid w:val="0087167E"/>
    <w:rsid w:val="00881692"/>
    <w:rsid w:val="00883F91"/>
    <w:rsid w:val="00887B5F"/>
    <w:rsid w:val="008A2437"/>
    <w:rsid w:val="008B3CC5"/>
    <w:rsid w:val="008E315B"/>
    <w:rsid w:val="008E4261"/>
    <w:rsid w:val="008F3E86"/>
    <w:rsid w:val="008F4662"/>
    <w:rsid w:val="00905AE5"/>
    <w:rsid w:val="00905D08"/>
    <w:rsid w:val="00925753"/>
    <w:rsid w:val="009547A8"/>
    <w:rsid w:val="00966C5C"/>
    <w:rsid w:val="00970D63"/>
    <w:rsid w:val="00973104"/>
    <w:rsid w:val="00973AF1"/>
    <w:rsid w:val="009B5383"/>
    <w:rsid w:val="00A150B3"/>
    <w:rsid w:val="00A61CC7"/>
    <w:rsid w:val="00A72D2E"/>
    <w:rsid w:val="00A85380"/>
    <w:rsid w:val="00A911E7"/>
    <w:rsid w:val="00A939D9"/>
    <w:rsid w:val="00AD2598"/>
    <w:rsid w:val="00AF19FC"/>
    <w:rsid w:val="00AF23C6"/>
    <w:rsid w:val="00B20712"/>
    <w:rsid w:val="00B43238"/>
    <w:rsid w:val="00B62F6A"/>
    <w:rsid w:val="00B75216"/>
    <w:rsid w:val="00B91D52"/>
    <w:rsid w:val="00BA1ACD"/>
    <w:rsid w:val="00BF1F9C"/>
    <w:rsid w:val="00C611E4"/>
    <w:rsid w:val="00C671C9"/>
    <w:rsid w:val="00C96887"/>
    <w:rsid w:val="00CA1C82"/>
    <w:rsid w:val="00CA7176"/>
    <w:rsid w:val="00CC163D"/>
    <w:rsid w:val="00CD2773"/>
    <w:rsid w:val="00CD2F6F"/>
    <w:rsid w:val="00CE143B"/>
    <w:rsid w:val="00D515B3"/>
    <w:rsid w:val="00D74B13"/>
    <w:rsid w:val="00DA1864"/>
    <w:rsid w:val="00DB54D4"/>
    <w:rsid w:val="00DD400C"/>
    <w:rsid w:val="00E167C7"/>
    <w:rsid w:val="00E3098E"/>
    <w:rsid w:val="00E35B78"/>
    <w:rsid w:val="00E64A70"/>
    <w:rsid w:val="00E8580C"/>
    <w:rsid w:val="00EB7FF4"/>
    <w:rsid w:val="00EC47F6"/>
    <w:rsid w:val="00EC6E62"/>
    <w:rsid w:val="00EE4604"/>
    <w:rsid w:val="00F66032"/>
    <w:rsid w:val="00F66EAD"/>
    <w:rsid w:val="00F71B45"/>
    <w:rsid w:val="00F77506"/>
    <w:rsid w:val="00F958C2"/>
    <w:rsid w:val="00FA67E8"/>
    <w:rsid w:val="01FB23CB"/>
    <w:rsid w:val="02FA51EA"/>
    <w:rsid w:val="03F85774"/>
    <w:rsid w:val="076C585B"/>
    <w:rsid w:val="0913255C"/>
    <w:rsid w:val="0A511870"/>
    <w:rsid w:val="0B0D77B0"/>
    <w:rsid w:val="0C3D5924"/>
    <w:rsid w:val="0D9F1876"/>
    <w:rsid w:val="10ED36A0"/>
    <w:rsid w:val="114917E9"/>
    <w:rsid w:val="15F42192"/>
    <w:rsid w:val="19C36DAA"/>
    <w:rsid w:val="1A5D684E"/>
    <w:rsid w:val="1ABE55EE"/>
    <w:rsid w:val="1B243340"/>
    <w:rsid w:val="1D954D97"/>
    <w:rsid w:val="1F6F2A19"/>
    <w:rsid w:val="22AB5AD8"/>
    <w:rsid w:val="29476F5B"/>
    <w:rsid w:val="2A012DF7"/>
    <w:rsid w:val="303D4E30"/>
    <w:rsid w:val="316E2FA4"/>
    <w:rsid w:val="3507028C"/>
    <w:rsid w:val="3595643A"/>
    <w:rsid w:val="387D24B1"/>
    <w:rsid w:val="38E01BC5"/>
    <w:rsid w:val="3C927CD6"/>
    <w:rsid w:val="3CD42DDC"/>
    <w:rsid w:val="419B1E78"/>
    <w:rsid w:val="42362214"/>
    <w:rsid w:val="42706B76"/>
    <w:rsid w:val="429960CF"/>
    <w:rsid w:val="450E16B8"/>
    <w:rsid w:val="45C76287"/>
    <w:rsid w:val="471D5503"/>
    <w:rsid w:val="48E4762F"/>
    <w:rsid w:val="492C0AE6"/>
    <w:rsid w:val="4A5B700A"/>
    <w:rsid w:val="4DF57B76"/>
    <w:rsid w:val="4E1875FC"/>
    <w:rsid w:val="514F3562"/>
    <w:rsid w:val="541C1C0A"/>
    <w:rsid w:val="545C3400"/>
    <w:rsid w:val="55145A25"/>
    <w:rsid w:val="55383E38"/>
    <w:rsid w:val="5911172D"/>
    <w:rsid w:val="59870472"/>
    <w:rsid w:val="5A584658"/>
    <w:rsid w:val="5E731884"/>
    <w:rsid w:val="67136B29"/>
    <w:rsid w:val="67706CC4"/>
    <w:rsid w:val="678A783D"/>
    <w:rsid w:val="685B7F7B"/>
    <w:rsid w:val="68AE4931"/>
    <w:rsid w:val="6C053E44"/>
    <w:rsid w:val="6C1872E4"/>
    <w:rsid w:val="6CA86ED0"/>
    <w:rsid w:val="724C7A91"/>
    <w:rsid w:val="72617A36"/>
    <w:rsid w:val="72CD0587"/>
    <w:rsid w:val="7A966AD7"/>
    <w:rsid w:val="7DE97364"/>
    <w:rsid w:val="7EB2342C"/>
    <w:rsid w:val="7FBC791E"/>
    <w:rsid w:val="7FCB0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iPriority="99"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iPriority="99" w:name="footnote reference"/>
    <w:lsdException w:uiPriority="0" w:name="annotation reference"/>
    <w:lsdException w:uiPriority="0" w:name="line number"/>
    <w:lsdException w:qFormat="1" w:uiPriority="99"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qFormat/>
    <w:uiPriority w:val="99"/>
    <w:pPr>
      <w:tabs>
        <w:tab w:val="center" w:pos="4153"/>
        <w:tab w:val="right" w:pos="8306"/>
      </w:tabs>
      <w:snapToGrid w:val="0"/>
      <w:jc w:val="left"/>
    </w:pPr>
    <w:rPr>
      <w:rFonts w:ascii="Times New Roman" w:hAnsi="Times New Roman" w:cs="Times New Roman"/>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4">
    <w:name w:val="toc 1"/>
    <w:basedOn w:val="1"/>
    <w:next w:val="1"/>
    <w:qFormat/>
    <w:uiPriority w:val="0"/>
    <w:rPr>
      <w:rFonts w:ascii="Times New Roman" w:hAnsi="Times New Roman" w:cs="Times New Roman"/>
      <w:szCs w:val="24"/>
    </w:rPr>
  </w:style>
  <w:style w:type="paragraph" w:styleId="5">
    <w:name w:val="footnote text"/>
    <w:basedOn w:val="1"/>
    <w:semiHidden/>
    <w:unhideWhenUsed/>
    <w:qFormat/>
    <w:uiPriority w:val="99"/>
    <w:pPr>
      <w:snapToGrid w:val="0"/>
      <w:jc w:val="left"/>
    </w:pPr>
    <w:rPr>
      <w:rFonts w:ascii="Calibri" w:hAnsi="Calibri" w:eastAsia="宋体" w:cs="Times New Roman"/>
      <w:sz w:val="18"/>
      <w:szCs w:val="18"/>
    </w:rPr>
  </w:style>
  <w:style w:type="paragraph" w:styleId="6">
    <w:name w:val="toc 2"/>
    <w:basedOn w:val="1"/>
    <w:next w:val="1"/>
    <w:qFormat/>
    <w:uiPriority w:val="0"/>
    <w:pPr>
      <w:ind w:left="420" w:leftChars="200"/>
    </w:pPr>
    <w:rPr>
      <w:rFonts w:ascii="Times New Roman" w:hAnsi="Times New Roman" w:cs="Times New Roman"/>
      <w:szCs w:val="24"/>
    </w:rPr>
  </w:style>
  <w:style w:type="character" w:styleId="9">
    <w:name w:val="page number"/>
    <w:basedOn w:val="8"/>
    <w:semiHidden/>
    <w:unhideWhenUsed/>
    <w:qFormat/>
    <w:uiPriority w:val="99"/>
  </w:style>
  <w:style w:type="character" w:styleId="10">
    <w:name w:val="footnote reference"/>
    <w:basedOn w:val="8"/>
    <w:semiHidden/>
    <w:unhideWhenUsed/>
    <w:qFormat/>
    <w:uiPriority w:val="99"/>
    <w:rPr>
      <w:vertAlign w:val="superscript"/>
    </w:rPr>
  </w:style>
  <w:style w:type="character" w:customStyle="1" w:styleId="11">
    <w:name w:val="页眉 Char"/>
    <w:basedOn w:val="8"/>
    <w:link w:val="3"/>
    <w:qFormat/>
    <w:uiPriority w:val="0"/>
    <w:rPr>
      <w:rFonts w:ascii="Times New Roman" w:hAnsi="Times New Roman" w:eastAsia="宋体" w:cs="Times New Roman"/>
      <w:sz w:val="18"/>
      <w:szCs w:val="18"/>
    </w:rPr>
  </w:style>
  <w:style w:type="character" w:customStyle="1" w:styleId="12">
    <w:name w:val="页脚 Char"/>
    <w:basedOn w:val="8"/>
    <w:link w:val="2"/>
    <w:qFormat/>
    <w:uiPriority w:val="99"/>
    <w:rPr>
      <w:rFonts w:ascii="Times New Roman" w:hAnsi="Times New Roman" w:eastAsia="宋体" w:cs="Times New Roman"/>
      <w:sz w:val="18"/>
      <w:szCs w:val="18"/>
    </w:rPr>
  </w:style>
  <w:style w:type="paragraph" w:styleId="13">
    <w:name w:val="List Paragraph"/>
    <w:basedOn w:val="1"/>
    <w:qFormat/>
    <w:uiPriority w:val="99"/>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13</Pages>
  <Words>963</Words>
  <Characters>5492</Characters>
  <Lines>45</Lines>
  <Paragraphs>12</Paragraphs>
  <TotalTime>16</TotalTime>
  <ScaleCrop>false</ScaleCrop>
  <LinksUpToDate>false</LinksUpToDate>
  <CharactersWithSpaces>6443</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2017-01-20T01:29:00Z</dcterms:created>
  <dc:creator>guest</dc:creator>
  <cp:lastModifiedBy> 霄  </cp:lastModifiedBy>
  <cp:lastPrinted>2018-03-09T02:14:00Z</cp:lastPrinted>
  <dcterms:modified xsi:type="dcterms:W3CDTF">2020-02-19T04:16:07Z</dcterms:modified>
  <dc:title>河北省2017年部门预算信息公开</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